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Times New Roman" w:hAnsi="Times New Roman" w:cs="Times New Roman"/>
          <w:b/>
          <w:b/>
          <w:sz w:val="28"/>
          <w:szCs w:val="28"/>
          <w:bdr w:val="single" w:sz="4" w:space="0" w:color="000000"/>
        </w:rPr>
      </w:pPr>
      <w:r>
        <w:rPr>
          <w:rFonts w:cs="Times New Roman" w:ascii="Times New Roman" w:hAnsi="Times New Roman"/>
          <w:b/>
          <w:sz w:val="28"/>
          <w:szCs w:val="28"/>
          <w:bdr w:val="single" w:sz="4" w:space="0" w:color="000000"/>
        </w:rPr>
      </w:r>
    </w:p>
    <w:p>
      <w:pPr>
        <w:pStyle w:val="Normal"/>
        <w:numPr>
          <w:ilvl w:val="0"/>
          <w:numId w:val="0"/>
        </w:numPr>
        <w:spacing w:before="0" w:after="0"/>
        <w:ind w:left="720" w:hanging="0"/>
        <w:jc w:val="both"/>
        <w:rPr>
          <w:sz w:val="32"/>
          <w:szCs w:val="32"/>
        </w:rPr>
      </w:pPr>
      <w:r>
        <w:rPr>
          <w:rFonts w:cs="Times New Roman" w:ascii="Times New Roman" w:hAnsi="Times New Roman"/>
          <w:b/>
          <w:sz w:val="32"/>
          <w:szCs w:val="32"/>
        </w:rPr>
        <w:t xml:space="preserve">                               </w:t>
      </w:r>
      <w:r>
        <w:rPr>
          <w:rFonts w:cs="Times New Roman" w:ascii="Times New Roman" w:hAnsi="Times New Roman"/>
          <w:b/>
          <w:sz w:val="32"/>
          <w:szCs w:val="32"/>
        </w:rPr>
        <w:t>FGR-FP</w:t>
      </w:r>
    </w:p>
    <w:p>
      <w:pPr>
        <w:pStyle w:val="Normal"/>
        <w:numPr>
          <w:ilvl w:val="0"/>
          <w:numId w:val="0"/>
        </w:numPr>
        <w:spacing w:before="0" w:after="0"/>
        <w:ind w:left="720" w:hanging="0"/>
        <w:jc w:val="both"/>
        <w:rPr>
          <w:sz w:val="32"/>
          <w:szCs w:val="32"/>
        </w:rPr>
      </w:pPr>
      <w:r>
        <w:rPr>
          <w:rFonts w:cs="Times New Roman" w:ascii="Times New Roman" w:hAnsi="Times New Roman"/>
          <w:b/>
          <w:sz w:val="32"/>
          <w:szCs w:val="32"/>
        </w:rPr>
        <w:t>Compte rendu de la régionale Ile-de-France du 3 juin 2019</w:t>
      </w:r>
    </w:p>
    <w:p>
      <w:pPr>
        <w:pStyle w:val="Normal"/>
        <w:spacing w:before="0" w:after="0"/>
        <w:jc w:val="both"/>
        <w:rPr/>
      </w:pPr>
      <w:r>
        <w:rPr>
          <w:rFonts w:cs="Times New Roman" w:ascii="Times New Roman" w:hAnsi="Times New Roman"/>
          <w:b/>
          <w:sz w:val="24"/>
          <w:szCs w:val="24"/>
        </w:rPr>
        <w:t xml:space="preserve">                      </w:t>
      </w:r>
      <w:r>
        <w:rPr>
          <w:rFonts w:cs="Times New Roman" w:ascii="Times New Roman" w:hAnsi="Times New Roman"/>
          <w:b/>
          <w:sz w:val="24"/>
          <w:szCs w:val="24"/>
        </w:rPr>
        <w:t>rédigé par Micheline Redouté, déléguée régionale.</w:t>
      </w:r>
      <w:r>
        <w:rPr>
          <w:rFonts w:cs="Times New Roman" w:ascii="Tahoma" w:hAnsi="Tahoma"/>
          <w:sz w:val="24"/>
          <w:szCs w:val="24"/>
        </w:rPr>
        <w:t xml:space="preserve"> </w:t>
      </w:r>
    </w:p>
    <w:p>
      <w:pPr>
        <w:pStyle w:val="Normal"/>
        <w:spacing w:before="0" w:after="0"/>
        <w:jc w:val="both"/>
        <w:rPr>
          <w:rFonts w:ascii="Times New Roman" w:hAnsi="Times New Roman" w:cs="Times New Roman"/>
          <w:sz w:val="24"/>
          <w:szCs w:val="24"/>
        </w:rPr>
      </w:pPr>
      <w:r>
        <w:rPr/>
      </w:r>
    </w:p>
    <w:p>
      <w:pPr>
        <w:pStyle w:val="Normal"/>
        <w:spacing w:before="0" w:after="0"/>
        <w:jc w:val="both"/>
        <w:rPr>
          <w:rFonts w:ascii="Times New Roman" w:hAnsi="Times New Roman"/>
        </w:rPr>
      </w:pPr>
      <w:r>
        <w:rPr>
          <w:rFonts w:cs="Times New Roman" w:ascii="Tahoma" w:hAnsi="Tahoma"/>
          <w:sz w:val="24"/>
          <w:szCs w:val="24"/>
        </w:rPr>
        <w:t xml:space="preserve">Première régionale IDF après le congrès du Mans début avril, </w:t>
      </w:r>
      <w:r>
        <w:rPr>
          <w:rFonts w:cs="Times New Roman" w:ascii="Tahoma" w:hAnsi="Tahoma"/>
          <w:sz w:val="24"/>
          <w:szCs w:val="24"/>
          <w:u w:val="single"/>
        </w:rPr>
        <w:t>avec la participation de Marc VEYRAT réélu au Bureau National</w:t>
      </w:r>
      <w:r>
        <w:rPr>
          <w:rFonts w:cs="Times New Roman" w:ascii="Tahoma" w:hAnsi="Tahoma"/>
          <w:sz w:val="24"/>
          <w:szCs w:val="24"/>
        </w:rPr>
        <w:t>, en charge du dossier fiscalité.</w:t>
      </w:r>
    </w:p>
    <w:p>
      <w:pPr>
        <w:pStyle w:val="Normal"/>
        <w:spacing w:before="0" w:after="0"/>
        <w:jc w:val="both"/>
        <w:rPr>
          <w:rFonts w:ascii="Times New Roman" w:hAnsi="Times New Roman" w:cs="Times New Roman"/>
          <w:sz w:val="24"/>
          <w:szCs w:val="24"/>
        </w:rPr>
      </w:pPr>
      <w:r>
        <w:rPr>
          <w:rFonts w:eastAsia="Times New Roman" w:cs="Times New Roman" w:ascii="Tahoma" w:hAnsi="Tahoma"/>
          <w:sz w:val="24"/>
          <w:szCs w:val="24"/>
        </w:rPr>
        <w:t xml:space="preserve">     </w:t>
      </w:r>
      <w:r>
        <w:rPr>
          <w:rFonts w:cs="Times New Roman" w:ascii="Tahoma" w:hAnsi="Tahoma"/>
          <w:sz w:val="24"/>
          <w:szCs w:val="24"/>
        </w:rPr>
        <w:t>23 présents. Problèmes de santé, activités diverses,</w:t>
      </w:r>
      <w:r>
        <w:rPr>
          <w:rFonts w:ascii="Tahoma" w:hAnsi="Tahoma"/>
        </w:rPr>
        <w:t xml:space="preserve"> </w:t>
      </w:r>
      <w:r>
        <w:rPr>
          <w:rFonts w:cs="Times New Roman" w:ascii="Tahoma" w:hAnsi="Tahoma"/>
          <w:sz w:val="24"/>
          <w:szCs w:val="24"/>
        </w:rPr>
        <w:t xml:space="preserve">rencontre intersyndicale pour le 95 ont empêché certains de participer à la réunion. </w:t>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imes New Roman" w:hAnsi="Times New Roman" w:cs="Times New Roman"/>
          <w:sz w:val="28"/>
          <w:szCs w:val="28"/>
        </w:rPr>
      </w:pPr>
      <w:r>
        <w:rPr>
          <w:rFonts w:cs="Times New Roman" w:ascii="Tahoma" w:hAnsi="Tahoma"/>
          <w:b/>
          <w:sz w:val="28"/>
          <w:szCs w:val="28"/>
          <w:u w:val="single"/>
        </w:rPr>
        <w:t>CONGRÈS</w:t>
      </w:r>
      <w:r>
        <w:rPr>
          <w:rFonts w:cs="Times New Roman" w:ascii="Tahoma" w:hAnsi="Tahoma"/>
          <w:sz w:val="28"/>
          <w:szCs w:val="28"/>
        </w:rPr>
        <w:t> </w:t>
      </w:r>
    </w:p>
    <w:p>
      <w:pPr>
        <w:pStyle w:val="Normal"/>
        <w:spacing w:before="0" w:after="0"/>
        <w:jc w:val="both"/>
        <w:rPr>
          <w:rFonts w:ascii="Times New Roman" w:hAnsi="Times New Roman" w:cs="Times New Roman"/>
          <w:sz w:val="24"/>
          <w:szCs w:val="24"/>
        </w:rPr>
      </w:pPr>
      <w:r>
        <w:rPr>
          <w:rFonts w:eastAsia="Times New Roman" w:cs="Times New Roman" w:ascii="Tahoma" w:hAnsi="Tahoma"/>
          <w:sz w:val="24"/>
          <w:szCs w:val="24"/>
        </w:rPr>
        <w:t xml:space="preserve">     </w:t>
      </w:r>
      <w:r>
        <w:rPr>
          <w:rFonts w:cs="Times New Roman" w:ascii="Tahoma" w:hAnsi="Tahoma"/>
          <w:sz w:val="24"/>
          <w:szCs w:val="24"/>
        </w:rPr>
        <w:t>3 journées enrichissantes qui ont permis des échanges constructifs, et confirmé, malgré l’expression de points de vue différents sur certains sujets, la volonté de la FGR d’avancer et d’agir ensemble face aux attaques réitérées du gouvernement en direction des retraités et de notre modèle social.</w:t>
      </w:r>
    </w:p>
    <w:p>
      <w:pPr>
        <w:pStyle w:val="Normal"/>
        <w:spacing w:before="0" w:after="0"/>
        <w:jc w:val="both"/>
        <w:rPr>
          <w:rFonts w:ascii="Tahoma" w:hAnsi="Tahoma"/>
        </w:rPr>
      </w:pPr>
      <w:r>
        <w:rPr>
          <w:rFonts w:eastAsia="Times New Roman" w:cs="Times New Roman" w:ascii="Tahoma" w:hAnsi="Tahoma"/>
          <w:sz w:val="24"/>
          <w:szCs w:val="24"/>
        </w:rPr>
        <w:t xml:space="preserve">      </w:t>
      </w:r>
      <w:r>
        <w:rPr>
          <w:rFonts w:cs="Times New Roman" w:ascii="Tahoma" w:hAnsi="Tahoma"/>
          <w:sz w:val="24"/>
          <w:szCs w:val="24"/>
        </w:rPr>
        <w:t xml:space="preserve">Constat fut fait de la dégradation de la situation actuelle et de la régression sociale en cours, mais la FGR-FP est déterminée à </w:t>
      </w:r>
      <w:r>
        <w:rPr>
          <w:rFonts w:cs="Times New Roman" w:ascii="Tahoma" w:hAnsi="Tahoma"/>
          <w:sz w:val="24"/>
          <w:szCs w:val="24"/>
          <w:u w:val="single"/>
        </w:rPr>
        <w:t>poursuivre l’action dans une unité élargie</w:t>
      </w:r>
      <w:r>
        <w:rPr>
          <w:rFonts w:cs="Times New Roman" w:ascii="Tahoma" w:hAnsi="Tahoma"/>
          <w:sz w:val="24"/>
          <w:szCs w:val="24"/>
        </w:rPr>
        <w:t>, car les retraités, bien au-delà de leurs propres intérêts, se battent pour les générations qui suivent et pour la société dans son ensemble.</w:t>
      </w:r>
    </w:p>
    <w:p>
      <w:pPr>
        <w:pStyle w:val="Normal"/>
        <w:spacing w:before="0" w:after="0"/>
        <w:jc w:val="both"/>
        <w:rPr>
          <w:rFonts w:ascii="Times New Roman" w:hAnsi="Times New Roman" w:cs="Times New Roman"/>
          <w:sz w:val="24"/>
          <w:szCs w:val="24"/>
        </w:rPr>
      </w:pPr>
      <w:r>
        <w:rPr>
          <w:rFonts w:eastAsia="Times New Roman" w:cs="Times New Roman" w:ascii="Tahoma" w:hAnsi="Tahoma"/>
          <w:sz w:val="24"/>
          <w:szCs w:val="24"/>
        </w:rPr>
        <w:t xml:space="preserve">     </w:t>
      </w:r>
      <w:r>
        <w:rPr>
          <w:rFonts w:cs="Times New Roman" w:ascii="Tahoma" w:hAnsi="Tahoma"/>
          <w:sz w:val="24"/>
          <w:szCs w:val="24"/>
        </w:rPr>
        <w:t>La dernière allocution de Michel SALINGUE fut un moment émouvant. Merci à lui d’avoir fait entendre dans les médias la voix de la FGR-FP et ses revendications. Marc  LE DISERT, nouveau secrétaire général, lui succède.</w:t>
      </w:r>
    </w:p>
    <w:p>
      <w:pPr>
        <w:pStyle w:val="Normal"/>
        <w:spacing w:before="0" w:after="0"/>
        <w:jc w:val="both"/>
        <w:rPr>
          <w:rFonts w:ascii="Tahoma" w:hAnsi="Tahoma"/>
        </w:rPr>
      </w:pPr>
      <w:r>
        <w:rPr>
          <w:rFonts w:eastAsia="Times New Roman" w:cs="Times New Roman" w:ascii="Tahoma" w:hAnsi="Tahoma"/>
          <w:sz w:val="24"/>
          <w:szCs w:val="24"/>
        </w:rPr>
        <w:t xml:space="preserve">     </w:t>
      </w:r>
      <w:r>
        <w:rPr>
          <w:rFonts w:cs="Times New Roman" w:ascii="Tahoma" w:hAnsi="Tahoma"/>
          <w:sz w:val="24"/>
          <w:szCs w:val="24"/>
        </w:rPr>
        <w:t>Jean-Pierre LAURENT, trésorier national réélu, a fait le point sur la maîtrise du déficit national, déficit dû essentiellement à la faible syndicalisation des retraités dans leur ensemble, comparée à leur investissement dans les associations.</w:t>
      </w:r>
    </w:p>
    <w:p>
      <w:pPr>
        <w:pStyle w:val="Normal"/>
        <w:spacing w:before="0" w:after="0"/>
        <w:jc w:val="both"/>
        <w:rPr>
          <w:rFonts w:ascii="Tahoma" w:hAnsi="Tahoma"/>
        </w:rPr>
      </w:pPr>
      <w:r>
        <w:rPr>
          <w:rFonts w:eastAsia="Times New Roman" w:cs="Times New Roman" w:ascii="Tahoma" w:hAnsi="Tahoma"/>
          <w:sz w:val="24"/>
          <w:szCs w:val="24"/>
        </w:rPr>
        <w:t xml:space="preserve">     </w:t>
      </w:r>
    </w:p>
    <w:p>
      <w:pPr>
        <w:pStyle w:val="Normal"/>
        <w:spacing w:before="0" w:after="0"/>
        <w:jc w:val="both"/>
        <w:rPr>
          <w:rFonts w:ascii="Tahoma" w:hAnsi="Tahoma"/>
        </w:rPr>
      </w:pPr>
      <w:r>
        <w:rPr>
          <w:rFonts w:eastAsia="Times New Roman" w:cs="Times New Roman" w:ascii="Tahoma" w:hAnsi="Tahoma"/>
          <w:sz w:val="24"/>
          <w:szCs w:val="24"/>
        </w:rPr>
        <w:t xml:space="preserve">     </w:t>
      </w:r>
      <w:r>
        <w:rPr>
          <w:rFonts w:cs="Times New Roman" w:ascii="Tahoma" w:hAnsi="Tahoma"/>
          <w:sz w:val="24"/>
          <w:szCs w:val="24"/>
        </w:rPr>
        <w:t xml:space="preserve">Le début du congrès fut marqué par le vote d’un </w:t>
      </w:r>
      <w:r>
        <w:rPr>
          <w:rFonts w:cs="Times New Roman" w:ascii="Tahoma" w:hAnsi="Tahoma"/>
          <w:b/>
          <w:sz w:val="24"/>
          <w:szCs w:val="24"/>
        </w:rPr>
        <w:t>communiqué</w:t>
      </w:r>
      <w:r>
        <w:rPr>
          <w:rFonts w:cs="Times New Roman" w:ascii="Tahoma" w:hAnsi="Tahoma"/>
          <w:sz w:val="24"/>
          <w:szCs w:val="24"/>
        </w:rPr>
        <w:t xml:space="preserve"> </w:t>
      </w:r>
      <w:r>
        <w:rPr>
          <w:rFonts w:cs="Times New Roman" w:ascii="Tahoma" w:hAnsi="Tahoma"/>
          <w:b/>
          <w:sz w:val="24"/>
          <w:szCs w:val="24"/>
        </w:rPr>
        <w:t>de presse à propos de Geneviève LEGAY, militante retraitée</w:t>
      </w:r>
      <w:r>
        <w:rPr>
          <w:rFonts w:cs="Times New Roman" w:ascii="Tahoma" w:hAnsi="Tahoma"/>
          <w:sz w:val="24"/>
          <w:szCs w:val="24"/>
        </w:rPr>
        <w:t xml:space="preserve"> hospitalisée à la suite d’une agression par les forces de l’ordre alors qu’elle manifestait pacifiquement. La dérive actuelle de la répression policière en direction de manifestants pacifiques interpelle, et Jean SLAWNY demande au contraire un droit à la protection des retraités par les forces de police.</w:t>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imes New Roman" w:hAnsi="Times New Roman" w:cs="Times New Roman"/>
          <w:b/>
          <w:b/>
          <w:sz w:val="28"/>
          <w:szCs w:val="28"/>
        </w:rPr>
      </w:pPr>
      <w:r>
        <w:rPr>
          <w:rFonts w:cs="Times New Roman" w:ascii="Tahoma" w:hAnsi="Tahoma"/>
          <w:b/>
          <w:sz w:val="28"/>
          <w:szCs w:val="28"/>
          <w:u w:val="single"/>
        </w:rPr>
        <w:t>FONCTION PUBLIQUE : UNE RÉFORME DE L’ÉTAT</w:t>
      </w:r>
      <w:r>
        <w:rPr>
          <w:rFonts w:cs="Times New Roman" w:ascii="Tahoma" w:hAnsi="Tahoma"/>
          <w:b/>
          <w:sz w:val="28"/>
          <w:szCs w:val="28"/>
        </w:rPr>
        <w:t xml:space="preserve"> </w:t>
      </w:r>
    </w:p>
    <w:p>
      <w:pPr>
        <w:pStyle w:val="Normal"/>
        <w:spacing w:before="0" w:after="0"/>
        <w:jc w:val="both"/>
        <w:rPr>
          <w:rFonts w:ascii="Tahoma" w:hAnsi="Tahoma"/>
        </w:rPr>
      </w:pPr>
      <w:r>
        <w:rPr>
          <w:rFonts w:eastAsia="Times New Roman" w:cs="Times New Roman" w:ascii="Tahoma" w:hAnsi="Tahoma"/>
          <w:b/>
          <w:sz w:val="24"/>
          <w:szCs w:val="24"/>
        </w:rPr>
        <w:t xml:space="preserve">                                             </w:t>
      </w:r>
      <w:r>
        <w:rPr>
          <w:rFonts w:cs="Times New Roman" w:ascii="Tahoma" w:hAnsi="Tahoma"/>
          <w:sz w:val="24"/>
          <w:szCs w:val="24"/>
          <w:u w:val="single"/>
        </w:rPr>
        <w:t>présentée par Nicole MEDJIGBODO</w:t>
      </w:r>
    </w:p>
    <w:p>
      <w:pPr>
        <w:pStyle w:val="Normal"/>
        <w:spacing w:before="0" w:after="0"/>
        <w:jc w:val="both"/>
        <w:rPr>
          <w:rFonts w:ascii="Tahoma" w:hAnsi="Tahoma" w:cs="Times New Roman"/>
          <w:sz w:val="24"/>
          <w:szCs w:val="24"/>
          <w:u w:val="single"/>
        </w:rPr>
      </w:pPr>
      <w:r>
        <w:rPr>
          <w:rFonts w:cs="Times New Roman" w:ascii="Tahoma" w:hAnsi="Tahoma"/>
          <w:sz w:val="24"/>
          <w:szCs w:val="24"/>
          <w:u w:val="single"/>
        </w:rPr>
      </w:r>
    </w:p>
    <w:p>
      <w:pPr>
        <w:pStyle w:val="Normal"/>
        <w:spacing w:before="0" w:after="0"/>
        <w:jc w:val="both"/>
        <w:rPr>
          <w:rFonts w:ascii="Tahoma" w:hAnsi="Tahoma"/>
        </w:rPr>
      </w:pPr>
      <w:r>
        <w:rPr>
          <w:rFonts w:eastAsia="Times New Roman" w:cs="Times New Roman" w:ascii="Tahoma" w:hAnsi="Tahoma"/>
          <w:sz w:val="24"/>
          <w:szCs w:val="24"/>
        </w:rPr>
        <w:t xml:space="preserve">     </w:t>
      </w:r>
      <w:r>
        <w:rPr>
          <w:rFonts w:cs="Times New Roman" w:ascii="Tahoma" w:hAnsi="Tahoma"/>
          <w:sz w:val="24"/>
          <w:szCs w:val="24"/>
        </w:rPr>
        <w:t xml:space="preserve">Il s’agit de comprendre comment le </w:t>
      </w:r>
      <w:r>
        <w:rPr>
          <w:rFonts w:cs="Times New Roman" w:ascii="Tahoma" w:hAnsi="Tahoma"/>
          <w:b/>
          <w:sz w:val="24"/>
          <w:szCs w:val="24"/>
          <w:u w:val="single"/>
        </w:rPr>
        <w:t>projet gouvernemental de « transformation de la fonction publique</w:t>
      </w:r>
      <w:r>
        <w:rPr>
          <w:rFonts w:cs="Times New Roman" w:ascii="Tahoma" w:hAnsi="Tahoma"/>
          <w:sz w:val="24"/>
          <w:szCs w:val="24"/>
        </w:rPr>
        <w:t xml:space="preserve"> », sous prétexte de vouloir assouplir, réorganiser et adapter notre fonction publique à la modernité, renvoie, </w:t>
      </w:r>
      <w:r>
        <w:rPr>
          <w:rFonts w:cs="Times New Roman" w:ascii="Tahoma" w:hAnsi="Tahoma"/>
          <w:b/>
          <w:sz w:val="24"/>
          <w:szCs w:val="24"/>
          <w:highlight w:val="yellow"/>
          <w:u w:val="single"/>
        </w:rPr>
        <w:t>de fait</w:t>
      </w:r>
      <w:r>
        <w:rPr>
          <w:rFonts w:cs="Times New Roman" w:ascii="Tahoma" w:hAnsi="Tahoma"/>
          <w:sz w:val="24"/>
          <w:szCs w:val="24"/>
        </w:rPr>
        <w:t xml:space="preserve">,  à des expériences antérieures de </w:t>
      </w:r>
      <w:r>
        <w:rPr>
          <w:rFonts w:cs="Times New Roman" w:ascii="Tahoma" w:hAnsi="Tahoma"/>
          <w:b/>
          <w:sz w:val="24"/>
          <w:szCs w:val="24"/>
          <w:highlight w:val="yellow"/>
          <w:u w:val="single"/>
        </w:rPr>
        <w:t>démantèlement des services publics</w:t>
      </w:r>
      <w:r>
        <w:rPr>
          <w:rFonts w:cs="Times New Roman" w:ascii="Tahoma" w:hAnsi="Tahoma"/>
          <w:sz w:val="24"/>
          <w:szCs w:val="24"/>
        </w:rPr>
        <w:t xml:space="preserve"> menées aux États-Unis et sous Margaret Thatcher </w:t>
      </w:r>
      <w:r>
        <w:rPr>
          <w:rFonts w:cs="Times New Roman" w:ascii="Tahoma" w:hAnsi="Tahoma"/>
          <w:sz w:val="24"/>
          <w:szCs w:val="24"/>
          <w:u w:val="single"/>
        </w:rPr>
        <w:t>dans le cadre du « New Public Management » (NPM)</w:t>
      </w:r>
      <w:r>
        <w:rPr>
          <w:rFonts w:cs="Times New Roman" w:ascii="Tahoma" w:hAnsi="Tahoma"/>
          <w:sz w:val="24"/>
          <w:szCs w:val="24"/>
        </w:rPr>
        <w:t>.</w:t>
      </w:r>
    </w:p>
    <w:p>
      <w:pPr>
        <w:pStyle w:val="Normal"/>
        <w:spacing w:before="0" w:after="0"/>
        <w:jc w:val="both"/>
        <w:rPr>
          <w:rFonts w:ascii="Times New Roman" w:hAnsi="Times New Roman" w:cs="Times New Roman"/>
          <w:sz w:val="24"/>
          <w:szCs w:val="24"/>
        </w:rPr>
      </w:pPr>
      <w:r>
        <w:rPr>
          <w:rFonts w:eastAsia="Times New Roman" w:cs="Times New Roman" w:ascii="Tahoma" w:hAnsi="Tahoma"/>
          <w:sz w:val="24"/>
          <w:szCs w:val="24"/>
        </w:rPr>
        <w:t xml:space="preserve">     </w:t>
      </w:r>
    </w:p>
    <w:p>
      <w:pPr>
        <w:pStyle w:val="Normal"/>
        <w:spacing w:before="0" w:after="0"/>
        <w:jc w:val="both"/>
        <w:rPr>
          <w:rFonts w:ascii="Tahoma" w:hAnsi="Tahoma"/>
        </w:rPr>
      </w:pPr>
      <w:r>
        <w:rPr>
          <w:rFonts w:eastAsia="Times New Roman" w:cs="Times New Roman" w:ascii="Tahoma" w:hAnsi="Tahoma"/>
          <w:b/>
          <w:sz w:val="24"/>
          <w:szCs w:val="24"/>
        </w:rPr>
        <w:t xml:space="preserve">     </w:t>
      </w:r>
      <w:r>
        <w:rPr>
          <w:rFonts w:cs="Times New Roman" w:ascii="Tahoma" w:hAnsi="Tahoma"/>
          <w:b/>
          <w:sz w:val="24"/>
          <w:szCs w:val="24"/>
          <w:u w:val="single"/>
        </w:rPr>
        <w:t>Déjà en 2018</w:t>
      </w:r>
      <w:r>
        <w:rPr>
          <w:rFonts w:cs="Times New Roman" w:ascii="Tahoma" w:hAnsi="Tahoma"/>
          <w:sz w:val="24"/>
          <w:szCs w:val="24"/>
        </w:rPr>
        <w:t xml:space="preserve">, en pleine affaire Benalla, Solidaires Finances Publiques avait dévoilé </w:t>
      </w:r>
      <w:r>
        <w:rPr>
          <w:rFonts w:cs="Times New Roman" w:ascii="Tahoma" w:hAnsi="Tahoma"/>
          <w:b/>
          <w:sz w:val="24"/>
          <w:szCs w:val="24"/>
          <w:u w:val="single"/>
        </w:rPr>
        <w:t>un rapport « secret »</w:t>
      </w:r>
      <w:r>
        <w:rPr>
          <w:rFonts w:ascii="Tahoma" w:hAnsi="Tahoma"/>
          <w:u w:val="single"/>
        </w:rPr>
        <w:t xml:space="preserve"> </w:t>
      </w:r>
      <w:r>
        <w:rPr>
          <w:rFonts w:cs="Times New Roman" w:ascii="Tahoma" w:hAnsi="Tahoma"/>
          <w:b/>
          <w:sz w:val="24"/>
          <w:szCs w:val="24"/>
          <w:u w:val="single"/>
        </w:rPr>
        <w:t xml:space="preserve">CAP 22 </w:t>
      </w:r>
      <w:r>
        <w:rPr>
          <w:rFonts w:cs="Times New Roman" w:ascii="Tahoma" w:hAnsi="Tahoma"/>
          <w:sz w:val="24"/>
          <w:szCs w:val="24"/>
          <w:u w:val="single"/>
        </w:rPr>
        <w:t xml:space="preserve"> qui constituait la</w:t>
      </w:r>
      <w:r>
        <w:rPr>
          <w:rFonts w:cs="Times New Roman" w:ascii="Tahoma" w:hAnsi="Tahoma"/>
          <w:sz w:val="24"/>
          <w:szCs w:val="24"/>
        </w:rPr>
        <w:t xml:space="preserve"> </w:t>
      </w:r>
      <w:r>
        <w:rPr>
          <w:rFonts w:cs="Times New Roman" w:ascii="Tahoma" w:hAnsi="Tahoma"/>
          <w:sz w:val="24"/>
          <w:szCs w:val="24"/>
          <w:u w:val="single"/>
        </w:rPr>
        <w:t>feuille de route du quinquennat :</w:t>
      </w:r>
      <w:r>
        <w:rPr>
          <w:rFonts w:cs="Times New Roman" w:ascii="Tahoma" w:hAnsi="Tahoma"/>
          <w:sz w:val="24"/>
          <w:szCs w:val="24"/>
        </w:rPr>
        <w:t xml:space="preserve"> </w:t>
      </w:r>
    </w:p>
    <w:p>
      <w:pPr>
        <w:pStyle w:val="Normal"/>
        <w:spacing w:before="0" w:after="0"/>
        <w:jc w:val="both"/>
        <w:rPr>
          <w:rFonts w:ascii="Tahoma" w:hAnsi="Tahoma"/>
        </w:rPr>
      </w:pPr>
      <w:r>
        <w:rPr>
          <w:rFonts w:cs="Times New Roman" w:ascii="Tahoma" w:hAnsi="Tahoma"/>
          <w:sz w:val="24"/>
          <w:szCs w:val="24"/>
        </w:rPr>
        <w:t>Derrière le sous-titre « </w:t>
      </w:r>
      <w:r>
        <w:rPr>
          <w:rFonts w:cs="Times New Roman" w:ascii="Tahoma" w:hAnsi="Tahoma"/>
          <w:sz w:val="24"/>
          <w:szCs w:val="24"/>
          <w:u w:val="single"/>
        </w:rPr>
        <w:t>Se réinventer pour mieux servir</w:t>
      </w:r>
      <w:r>
        <w:rPr>
          <w:rFonts w:cs="Times New Roman" w:ascii="Tahoma" w:hAnsi="Tahoma"/>
          <w:sz w:val="24"/>
          <w:szCs w:val="24"/>
        </w:rPr>
        <w:t> », le « Comité d’Action Publique 2022 » ou « Comité des missions et de la dépense publique », composé de 43 experts extérieurs (majoritairement des banquiers, des entrepreneurs, des économistes, des hauts-fonctionnaires de la Cour des comptes</w:t>
      </w:r>
      <w:r>
        <w:rPr>
          <w:rFonts w:ascii="Tahoma" w:hAnsi="Tahoma"/>
        </w:rPr>
        <w:t xml:space="preserve">, </w:t>
      </w:r>
      <w:r>
        <w:rPr>
          <w:rFonts w:cs="Times New Roman" w:ascii="Tahoma" w:hAnsi="Tahoma"/>
          <w:sz w:val="24"/>
          <w:szCs w:val="24"/>
        </w:rPr>
        <w:t xml:space="preserve"> le directeur de Sciences Po …) avait pour </w:t>
      </w:r>
      <w:r>
        <w:rPr>
          <w:rFonts w:cs="Times New Roman" w:ascii="Tahoma" w:hAnsi="Tahoma"/>
          <w:sz w:val="24"/>
          <w:szCs w:val="24"/>
          <w:u w:val="single"/>
        </w:rPr>
        <w:t>but</w:t>
      </w:r>
      <w:r>
        <w:rPr>
          <w:rFonts w:cs="Times New Roman" w:ascii="Tahoma" w:hAnsi="Tahoma"/>
          <w:sz w:val="24"/>
          <w:szCs w:val="24"/>
        </w:rPr>
        <w:t xml:space="preserve"> dans son programme, d’</w:t>
      </w:r>
      <w:r>
        <w:rPr>
          <w:rFonts w:cs="Times New Roman" w:ascii="Tahoma" w:hAnsi="Tahoma"/>
          <w:sz w:val="24"/>
          <w:szCs w:val="24"/>
          <w:u w:val="single"/>
        </w:rPr>
        <w:t>économiser une trentaine de milliards d’euros</w:t>
      </w:r>
      <w:r>
        <w:rPr>
          <w:rFonts w:cs="Times New Roman" w:ascii="Tahoma" w:hAnsi="Tahoma"/>
          <w:sz w:val="24"/>
          <w:szCs w:val="24"/>
        </w:rPr>
        <w:t xml:space="preserve"> (réduction de 15 milliards pour l’assurance maladie, suppressions de 120 000 postes de fonctionnaires, volonté de réduire à 47,1% la part de la « dépense publique » dans le PIB au lieu de 51%). Sous couvert de transformation, il se livrait ainsi à une </w:t>
      </w:r>
      <w:r>
        <w:rPr>
          <w:rFonts w:cs="Times New Roman" w:ascii="Tahoma" w:hAnsi="Tahoma"/>
          <w:b/>
          <w:sz w:val="24"/>
          <w:szCs w:val="24"/>
          <w:u w:val="single"/>
        </w:rPr>
        <w:t>attaque frontale de la fonction publique</w:t>
      </w:r>
      <w:r>
        <w:rPr>
          <w:rFonts w:cs="Times New Roman" w:ascii="Tahoma" w:hAnsi="Tahoma"/>
          <w:sz w:val="24"/>
          <w:szCs w:val="24"/>
        </w:rPr>
        <w:t xml:space="preserve"> en préconisant privatisations, évaluations individuelles et primes au mérite </w:t>
      </w:r>
      <w:r>
        <w:rPr>
          <w:rFonts w:cs="Times New Roman" w:ascii="Tahoma" w:hAnsi="Tahoma"/>
          <w:sz w:val="24"/>
          <w:szCs w:val="24"/>
          <w:highlight w:val="yellow"/>
        </w:rPr>
        <w:t>pour faire travailler les fonctionnaires comme dans une entreprise privée !</w:t>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pBdr>
          <w:top w:val="single" w:sz="4" w:space="1" w:color="000000"/>
          <w:left w:val="single" w:sz="4" w:space="4" w:color="000000"/>
          <w:bottom w:val="single" w:sz="4" w:space="1" w:color="000000"/>
          <w:right w:val="single" w:sz="4" w:space="4" w:color="000000"/>
        </w:pBdr>
        <w:spacing w:before="0" w:after="0"/>
        <w:jc w:val="both"/>
        <w:rPr>
          <w:rFonts w:ascii="Times New Roman" w:hAnsi="Times New Roman" w:cs="Times New Roman"/>
          <w:sz w:val="24"/>
          <w:szCs w:val="24"/>
        </w:rPr>
      </w:pPr>
      <w:r>
        <w:rPr>
          <w:rFonts w:cs="Times New Roman" w:ascii="Tahoma" w:hAnsi="Tahoma"/>
          <w:sz w:val="24"/>
          <w:szCs w:val="24"/>
        </w:rPr>
        <w:t>Suggestions de lectures sur le sujet :</w:t>
      </w:r>
    </w:p>
    <w:p>
      <w:pPr>
        <w:pStyle w:val="Normal"/>
        <w:pBdr>
          <w:top w:val="single" w:sz="4" w:space="1" w:color="000000"/>
          <w:left w:val="single" w:sz="4" w:space="4" w:color="000000"/>
          <w:bottom w:val="single" w:sz="4" w:space="1" w:color="000000"/>
          <w:right w:val="single" w:sz="4" w:space="4" w:color="000000"/>
        </w:pBdr>
        <w:spacing w:lineRule="auto" w:line="240" w:before="100" w:after="100"/>
        <w:rPr>
          <w:rFonts w:ascii="Tahoma" w:hAnsi="Tahoma"/>
        </w:rPr>
      </w:pPr>
      <w:r>
        <w:rPr>
          <w:rFonts w:cs="Times New Roman" w:ascii="Tahoma" w:hAnsi="Tahoma"/>
          <w:sz w:val="24"/>
          <w:szCs w:val="24"/>
          <w:lang w:val="fr-FR"/>
        </w:rPr>
        <w:t>1) Anicet Le Pors &amp; Gérard Aschieri:</w:t>
      </w:r>
      <w:r>
        <w:rPr>
          <w:rFonts w:cs="Times New Roman" w:ascii="Tahoma" w:hAnsi="Tahoma"/>
          <w:sz w:val="24"/>
          <w:szCs w:val="24"/>
          <w:u w:val="single"/>
          <w:lang w:val="fr-FR"/>
        </w:rPr>
        <w:t xml:space="preserve"> La fonction publique au XXIème siècle</w:t>
      </w:r>
      <w:r>
        <w:rPr>
          <w:rFonts w:cs="Times New Roman" w:ascii="Tahoma" w:hAnsi="Tahoma"/>
          <w:sz w:val="24"/>
          <w:szCs w:val="24"/>
          <w:lang w:val="fr-FR"/>
        </w:rPr>
        <w:t>, Ed. de l'Atelier, 2015</w:t>
      </w:r>
    </w:p>
    <w:p>
      <w:pPr>
        <w:pStyle w:val="Normal"/>
        <w:pBdr>
          <w:top w:val="single" w:sz="4" w:space="1" w:color="000000"/>
          <w:left w:val="single" w:sz="4" w:space="4" w:color="000000"/>
          <w:bottom w:val="single" w:sz="4" w:space="1" w:color="000000"/>
          <w:right w:val="single" w:sz="4" w:space="4" w:color="000000"/>
        </w:pBdr>
        <w:spacing w:lineRule="auto" w:line="240" w:before="100" w:after="100"/>
        <w:rPr>
          <w:rFonts w:ascii="Tahoma" w:hAnsi="Tahoma"/>
        </w:rPr>
      </w:pPr>
      <w:r>
        <w:rPr>
          <w:rFonts w:cs="Times New Roman" w:ascii="Tahoma" w:hAnsi="Tahoma"/>
          <w:sz w:val="24"/>
          <w:szCs w:val="24"/>
          <w:lang w:val="fr-FR"/>
        </w:rPr>
        <w:t xml:space="preserve">2) Michel Margairaz &amp; Danielle Tartatowsky: </w:t>
      </w:r>
      <w:r>
        <w:rPr>
          <w:rFonts w:cs="Times New Roman" w:ascii="Tahoma" w:hAnsi="Tahoma"/>
          <w:sz w:val="24"/>
          <w:szCs w:val="24"/>
          <w:u w:val="single"/>
          <w:lang w:val="fr-FR"/>
        </w:rPr>
        <w:t>L'Etat détricoté. De la Résistance à la République en marche</w:t>
      </w:r>
      <w:r>
        <w:rPr>
          <w:rFonts w:cs="Times New Roman" w:ascii="Tahoma" w:hAnsi="Tahoma"/>
          <w:sz w:val="24"/>
          <w:szCs w:val="24"/>
          <w:lang w:val="fr-FR"/>
        </w:rPr>
        <w:t>, 2018</w:t>
      </w:r>
    </w:p>
    <w:p>
      <w:pPr>
        <w:pStyle w:val="Normal"/>
        <w:pBdr>
          <w:top w:val="single" w:sz="4" w:space="1" w:color="000000"/>
          <w:left w:val="single" w:sz="4" w:space="4" w:color="000000"/>
          <w:bottom w:val="single" w:sz="4" w:space="1" w:color="000000"/>
          <w:right w:val="single" w:sz="4" w:space="4" w:color="000000"/>
        </w:pBdr>
        <w:spacing w:lineRule="auto" w:line="240" w:before="100" w:after="100"/>
        <w:rPr>
          <w:rFonts w:ascii="Tahoma" w:hAnsi="Tahoma"/>
        </w:rPr>
      </w:pPr>
      <w:r>
        <w:rPr>
          <w:rFonts w:cs="Times New Roman" w:ascii="Tahoma" w:hAnsi="Tahoma"/>
          <w:sz w:val="24"/>
          <w:szCs w:val="24"/>
          <w:lang w:val="fr-FR"/>
        </w:rPr>
        <w:t xml:space="preserve">3) Laurent Bonelli &amp; Willy Pelletier (sous la dir. de): </w:t>
      </w:r>
      <w:r>
        <w:rPr>
          <w:rFonts w:cs="Times New Roman" w:ascii="Tahoma" w:hAnsi="Tahoma"/>
          <w:sz w:val="24"/>
          <w:szCs w:val="24"/>
          <w:u w:val="single"/>
          <w:lang w:val="fr-FR"/>
        </w:rPr>
        <w:t>L'Etat démantelé. Enquête sur une contre-révolution silencieuse</w:t>
      </w:r>
      <w:r>
        <w:rPr>
          <w:rFonts w:cs="Times New Roman" w:ascii="Tahoma" w:hAnsi="Tahoma"/>
          <w:sz w:val="24"/>
          <w:szCs w:val="24"/>
          <w:lang w:val="fr-FR"/>
        </w:rPr>
        <w:t xml:space="preserve">, La Découverte 2010 </w:t>
      </w:r>
    </w:p>
    <w:p>
      <w:pPr>
        <w:pStyle w:val="Normal"/>
        <w:pBdr>
          <w:top w:val="single" w:sz="4" w:space="1" w:color="000000"/>
          <w:left w:val="single" w:sz="4" w:space="4" w:color="000000"/>
          <w:bottom w:val="single" w:sz="4" w:space="1" w:color="000000"/>
          <w:right w:val="single" w:sz="4" w:space="4" w:color="000000"/>
        </w:pBdr>
        <w:spacing w:lineRule="auto" w:line="240" w:before="100" w:after="100"/>
        <w:rPr>
          <w:rFonts w:ascii="Tahoma" w:hAnsi="Tahoma"/>
        </w:rPr>
      </w:pPr>
      <w:r>
        <w:rPr>
          <w:rFonts w:cs="Times New Roman" w:ascii="Tahoma" w:hAnsi="Tahoma"/>
          <w:sz w:val="24"/>
          <w:szCs w:val="24"/>
          <w:lang w:val="fr-FR"/>
        </w:rPr>
        <w:t xml:space="preserve">4) Françoise Dreyfus: </w:t>
      </w:r>
      <w:r>
        <w:rPr>
          <w:rFonts w:cs="Times New Roman" w:ascii="Tahoma" w:hAnsi="Tahoma"/>
          <w:sz w:val="24"/>
          <w:szCs w:val="24"/>
          <w:u w:val="single"/>
          <w:lang w:val="fr-FR"/>
        </w:rPr>
        <w:t>L'invention de la bureaucratie. Servir l'Etat en France, en Grande-Bretagne et aux Etats-Unis (XVIIIème-XXème s,</w:t>
      </w:r>
      <w:r>
        <w:rPr>
          <w:rFonts w:cs="Times New Roman" w:ascii="Tahoma" w:hAnsi="Tahoma"/>
          <w:sz w:val="24"/>
          <w:szCs w:val="24"/>
          <w:lang w:val="fr-FR"/>
        </w:rPr>
        <w:t xml:space="preserve">  La Découverte  2000.</w:t>
      </w:r>
    </w:p>
    <w:p>
      <w:pPr>
        <w:pStyle w:val="Normal"/>
        <w:spacing w:before="0" w:after="0"/>
        <w:jc w:val="both"/>
        <w:rPr>
          <w:rFonts w:ascii="Tahoma" w:hAnsi="Tahoma" w:cs="Times New Roman"/>
          <w:b/>
          <w:b/>
          <w:sz w:val="24"/>
          <w:szCs w:val="24"/>
          <w:lang w:val="fr-FR"/>
        </w:rPr>
      </w:pPr>
      <w:r>
        <w:rPr>
          <w:rFonts w:cs="Times New Roman" w:ascii="Tahoma" w:hAnsi="Tahoma"/>
          <w:b/>
          <w:sz w:val="24"/>
          <w:szCs w:val="24"/>
          <w:lang w:val="fr-FR"/>
        </w:rPr>
      </w:r>
    </w:p>
    <w:p>
      <w:pPr>
        <w:pStyle w:val="Normal"/>
        <w:pBdr>
          <w:top w:val="single" w:sz="4" w:space="1" w:color="000000"/>
          <w:left w:val="single" w:sz="4" w:space="4" w:color="000000"/>
          <w:bottom w:val="single" w:sz="4" w:space="1" w:color="000000"/>
          <w:right w:val="single" w:sz="4" w:space="4" w:color="000000"/>
        </w:pBdr>
        <w:spacing w:before="0" w:after="0"/>
        <w:jc w:val="both"/>
        <w:rPr>
          <w:rFonts w:ascii="Times New Roman" w:hAnsi="Times New Roman" w:cs="Times New Roman"/>
          <w:b/>
          <w:b/>
          <w:sz w:val="24"/>
          <w:szCs w:val="24"/>
        </w:rPr>
      </w:pPr>
      <w:r>
        <w:rPr>
          <w:rFonts w:eastAsia="Times New Roman" w:cs="Times New Roman" w:ascii="Tahoma" w:hAnsi="Tahoma"/>
          <w:b/>
          <w:sz w:val="24"/>
          <w:szCs w:val="24"/>
        </w:rPr>
        <w:t xml:space="preserve">              </w:t>
      </w:r>
      <w:r>
        <w:rPr>
          <w:rFonts w:cs="Times New Roman" w:ascii="Tahoma" w:hAnsi="Tahoma"/>
          <w:b/>
          <w:sz w:val="24"/>
          <w:szCs w:val="24"/>
        </w:rPr>
        <w:t xml:space="preserve">Dans le New Public Management (NPM) on fait fi des </w:t>
      </w:r>
      <w:r>
        <w:rPr>
          <w:rFonts w:cs="Times New Roman" w:ascii="Tahoma" w:hAnsi="Tahoma"/>
          <w:b/>
          <w:sz w:val="24"/>
          <w:szCs w:val="24"/>
          <w:u w:val="single"/>
        </w:rPr>
        <w:t>valeurs et</w:t>
      </w:r>
      <w:r>
        <w:rPr>
          <w:rFonts w:cs="Times New Roman" w:ascii="Tahoma" w:hAnsi="Tahoma"/>
          <w:b/>
          <w:sz w:val="24"/>
          <w:szCs w:val="24"/>
        </w:rPr>
        <w:t xml:space="preserve"> </w:t>
      </w:r>
    </w:p>
    <w:p>
      <w:pPr>
        <w:pStyle w:val="Normal"/>
        <w:pBdr>
          <w:top w:val="single" w:sz="4" w:space="1" w:color="000000"/>
          <w:left w:val="single" w:sz="4" w:space="4" w:color="000000"/>
          <w:bottom w:val="single" w:sz="4" w:space="1" w:color="000000"/>
          <w:right w:val="single" w:sz="4" w:space="4" w:color="000000"/>
        </w:pBdr>
        <w:spacing w:before="0" w:after="0"/>
        <w:jc w:val="both"/>
        <w:rPr>
          <w:rFonts w:ascii="Tahoma" w:hAnsi="Tahoma"/>
        </w:rPr>
      </w:pPr>
      <w:r>
        <w:rPr>
          <w:rFonts w:eastAsia="Times New Roman" w:cs="Times New Roman" w:ascii="Tahoma" w:hAnsi="Tahoma"/>
          <w:b/>
          <w:sz w:val="24"/>
          <w:szCs w:val="24"/>
        </w:rPr>
        <w:t xml:space="preserve">        </w:t>
      </w:r>
      <w:r>
        <w:rPr>
          <w:rFonts w:cs="Times New Roman" w:ascii="Tahoma" w:hAnsi="Tahoma"/>
          <w:b/>
          <w:sz w:val="24"/>
          <w:szCs w:val="24"/>
        </w:rPr>
        <w:t xml:space="preserve">des </w:t>
      </w:r>
      <w:r>
        <w:rPr>
          <w:rFonts w:cs="Times New Roman" w:ascii="Tahoma" w:hAnsi="Tahoma"/>
          <w:b/>
          <w:sz w:val="24"/>
          <w:szCs w:val="24"/>
          <w:u w:val="single"/>
        </w:rPr>
        <w:t>principes de notre fonction publique</w:t>
      </w:r>
      <w:r>
        <w:rPr>
          <w:rFonts w:cs="Times New Roman" w:ascii="Tahoma" w:hAnsi="Tahoma"/>
          <w:b/>
          <w:sz w:val="24"/>
          <w:szCs w:val="24"/>
        </w:rPr>
        <w:t xml:space="preserve"> </w:t>
      </w:r>
      <w:r>
        <w:rPr>
          <w:rFonts w:cs="Times New Roman" w:ascii="Tahoma" w:hAnsi="Tahoma"/>
          <w:sz w:val="24"/>
          <w:szCs w:val="24"/>
        </w:rPr>
        <w:t xml:space="preserve">qui ont émergé progressivement </w:t>
      </w:r>
    </w:p>
    <w:p>
      <w:pPr>
        <w:pStyle w:val="Normal"/>
        <w:pBdr>
          <w:top w:val="single" w:sz="4" w:space="1" w:color="000000"/>
          <w:left w:val="single" w:sz="4" w:space="4" w:color="000000"/>
          <w:bottom w:val="single" w:sz="4" w:space="1" w:color="000000"/>
          <w:right w:val="single" w:sz="4" w:space="4" w:color="000000"/>
        </w:pBdr>
        <w:spacing w:before="0" w:after="0"/>
        <w:jc w:val="both"/>
        <w:rPr>
          <w:rFonts w:ascii="Times New Roman" w:hAnsi="Times New Roman" w:cs="Times New Roman"/>
          <w:sz w:val="24"/>
          <w:szCs w:val="24"/>
        </w:rPr>
      </w:pPr>
      <w:r>
        <w:rPr>
          <w:rFonts w:eastAsia="Times New Roman" w:cs="Times New Roman" w:ascii="Tahoma" w:hAnsi="Tahoma"/>
          <w:sz w:val="24"/>
          <w:szCs w:val="24"/>
        </w:rPr>
        <w:t xml:space="preserve">                      </w:t>
      </w:r>
      <w:r>
        <w:rPr>
          <w:rFonts w:cs="Times New Roman" w:ascii="Tahoma" w:hAnsi="Tahoma"/>
          <w:sz w:val="24"/>
          <w:szCs w:val="24"/>
        </w:rPr>
        <w:t>(avec des avancées et des reculs) au cours des siècles.</w:t>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ahoma" w:hAnsi="Tahoma"/>
        </w:rPr>
      </w:pPr>
      <w:r>
        <w:rPr>
          <w:rFonts w:eastAsia="Times New Roman" w:cs="Times New Roman" w:ascii="Tahoma" w:hAnsi="Tahoma"/>
          <w:sz w:val="24"/>
          <w:szCs w:val="24"/>
        </w:rPr>
        <w:t xml:space="preserve">     </w:t>
      </w:r>
      <w:r>
        <w:rPr>
          <w:rFonts w:cs="Times New Roman" w:ascii="Tahoma" w:hAnsi="Tahoma"/>
          <w:sz w:val="24"/>
          <w:szCs w:val="24"/>
          <w:u w:val="single"/>
        </w:rPr>
        <w:t>Jusqu’à la Révolution</w:t>
      </w:r>
      <w:r>
        <w:rPr>
          <w:rFonts w:cs="Times New Roman" w:ascii="Tahoma" w:hAnsi="Tahoma"/>
          <w:sz w:val="24"/>
          <w:szCs w:val="24"/>
        </w:rPr>
        <w:t xml:space="preserve">, tout ce qui caractérisait le service de l’État relevait de </w:t>
      </w:r>
      <w:r>
        <w:rPr>
          <w:rFonts w:cs="Times New Roman" w:ascii="Tahoma" w:hAnsi="Tahoma"/>
          <w:sz w:val="24"/>
          <w:szCs w:val="24"/>
          <w:u w:val="single"/>
        </w:rPr>
        <w:t>la charge</w:t>
      </w:r>
      <w:r>
        <w:rPr>
          <w:rFonts w:cs="Times New Roman" w:ascii="Tahoma" w:hAnsi="Tahoma"/>
          <w:sz w:val="24"/>
          <w:szCs w:val="24"/>
        </w:rPr>
        <w:t xml:space="preserve"> (avec vénalité et patrimonialité). Népotisme et corruption entachaient son image. </w:t>
      </w:r>
    </w:p>
    <w:p>
      <w:pPr>
        <w:pStyle w:val="Normal"/>
        <w:spacing w:before="0" w:after="0"/>
        <w:jc w:val="both"/>
        <w:rPr>
          <w:rFonts w:ascii="Tahoma" w:hAnsi="Tahoma"/>
        </w:rPr>
      </w:pPr>
      <w:r>
        <w:rPr>
          <w:rFonts w:cs="Times New Roman" w:ascii="Tahoma" w:hAnsi="Tahoma"/>
          <w:sz w:val="24"/>
          <w:szCs w:val="24"/>
        </w:rPr>
        <w:t>Avec 1791 apparaissent les valeurs du service. Tout citoyen peut servir la société selon ses talents. Il est citoyen et non sujet.</w:t>
      </w:r>
    </w:p>
    <w:p>
      <w:pPr>
        <w:pStyle w:val="Normal"/>
        <w:spacing w:before="0" w:after="0"/>
        <w:jc w:val="both"/>
        <w:rPr>
          <w:rFonts w:ascii="Tahoma" w:hAnsi="Tahoma"/>
        </w:rPr>
      </w:pPr>
      <w:r>
        <w:rPr>
          <w:rFonts w:eastAsia="Times New Roman" w:cs="Times New Roman" w:ascii="Tahoma" w:hAnsi="Tahoma"/>
          <w:sz w:val="24"/>
          <w:szCs w:val="24"/>
        </w:rPr>
        <w:t xml:space="preserve">     </w:t>
      </w:r>
      <w:r>
        <w:rPr>
          <w:rFonts w:cs="Times New Roman" w:ascii="Tahoma" w:hAnsi="Tahoma"/>
          <w:sz w:val="24"/>
          <w:szCs w:val="24"/>
          <w:u w:val="single"/>
        </w:rPr>
        <w:t>Avec la Commune de Paris</w:t>
      </w:r>
      <w:r>
        <w:rPr>
          <w:rFonts w:cs="Times New Roman" w:ascii="Tahoma" w:hAnsi="Tahoma"/>
          <w:sz w:val="24"/>
          <w:szCs w:val="24"/>
        </w:rPr>
        <w:t xml:space="preserve">, une ébauche de fonction publique (FP) met l’accent sur </w:t>
      </w:r>
      <w:r>
        <w:rPr>
          <w:rFonts w:cs="Times New Roman" w:ascii="Tahoma" w:hAnsi="Tahoma"/>
          <w:sz w:val="24"/>
          <w:szCs w:val="24"/>
          <w:u w:val="single"/>
        </w:rPr>
        <w:t>l’intérêt général</w:t>
      </w:r>
      <w:r>
        <w:rPr>
          <w:rFonts w:cs="Times New Roman" w:ascii="Tahoma" w:hAnsi="Tahoma"/>
          <w:sz w:val="24"/>
          <w:szCs w:val="24"/>
        </w:rPr>
        <w:t xml:space="preserve"> et l’employé est engagé comme citoyen. Il a des droits et des devoirs.</w:t>
      </w:r>
    </w:p>
    <w:p>
      <w:pPr>
        <w:pStyle w:val="Normal"/>
        <w:spacing w:before="0" w:after="0"/>
        <w:jc w:val="both"/>
        <w:rPr>
          <w:rFonts w:ascii="Times New Roman" w:hAnsi="Times New Roman" w:cs="Times New Roman"/>
          <w:sz w:val="24"/>
          <w:szCs w:val="24"/>
        </w:rPr>
      </w:pPr>
      <w:r>
        <w:rPr>
          <w:rFonts w:eastAsia="Times New Roman" w:cs="Times New Roman" w:ascii="Tahoma" w:hAnsi="Tahoma"/>
          <w:sz w:val="24"/>
          <w:szCs w:val="24"/>
        </w:rPr>
        <w:t xml:space="preserve">     </w:t>
      </w:r>
      <w:r>
        <w:rPr>
          <w:rFonts w:cs="Times New Roman" w:ascii="Tahoma" w:hAnsi="Tahoma"/>
          <w:sz w:val="24"/>
          <w:szCs w:val="24"/>
          <w:u w:val="single"/>
        </w:rPr>
        <w:t>Au cours du XXème siècle, apparaît le statut</w:t>
      </w:r>
      <w:r>
        <w:rPr>
          <w:rFonts w:cs="Times New Roman" w:ascii="Tahoma" w:hAnsi="Tahoma"/>
          <w:sz w:val="24"/>
          <w:szCs w:val="24"/>
        </w:rPr>
        <w:t xml:space="preserve"> (1946 pour la FP d’État, 1983 pour l’ensemble des 3 FP) qui </w:t>
      </w:r>
      <w:r>
        <w:rPr>
          <w:rFonts w:cs="Times New Roman" w:ascii="Tahoma" w:hAnsi="Tahoma"/>
          <w:sz w:val="24"/>
          <w:szCs w:val="24"/>
          <w:u w:val="single"/>
        </w:rPr>
        <w:t>établit un lien entre l’administration et le politique</w:t>
      </w:r>
      <w:r>
        <w:rPr>
          <w:rFonts w:cs="Times New Roman" w:ascii="Tahoma" w:hAnsi="Tahoma"/>
          <w:sz w:val="24"/>
          <w:szCs w:val="24"/>
        </w:rPr>
        <w:t xml:space="preserve">. L’intégralité de la vie professionnelle du fonctionnaire est consacrée à la FP, mais le fonctionnaire peut résister s’il juge que ce qu’on lui demande n’est pas légal. </w:t>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imes New Roman" w:hAnsi="Times New Roman" w:cs="Times New Roman"/>
          <w:sz w:val="24"/>
          <w:szCs w:val="24"/>
        </w:rPr>
      </w:pPr>
      <w:r>
        <w:rPr>
          <w:rFonts w:eastAsia="Times New Roman" w:cs="Times New Roman" w:ascii="Tahoma" w:hAnsi="Tahoma"/>
          <w:sz w:val="24"/>
          <w:szCs w:val="24"/>
        </w:rPr>
        <w:t xml:space="preserve">     </w:t>
      </w:r>
      <w:r>
        <w:rPr>
          <w:rFonts w:cs="Times New Roman" w:ascii="Tahoma" w:hAnsi="Tahoma"/>
          <w:sz w:val="24"/>
          <w:szCs w:val="24"/>
        </w:rPr>
        <w:t>La FP est fondée sur des principes juridiques généraux (permanence de l’emploi, adaptabilité, égalité, neutralité, laïcité) avec des aspects spécifiques (emploi statuaire et non contractuel, indépendance, non-discrimination et le fonctionnaire répond de son action). La FP est au service de l’usager et n’a pas pour but le profit.</w:t>
      </w:r>
    </w:p>
    <w:p>
      <w:pPr>
        <w:pStyle w:val="Normal"/>
        <w:spacing w:before="0" w:after="0"/>
        <w:jc w:val="both"/>
        <w:rPr>
          <w:rFonts w:ascii="Times New Roman" w:hAnsi="Times New Roman" w:cs="Times New Roman"/>
          <w:sz w:val="24"/>
          <w:szCs w:val="24"/>
        </w:rPr>
      </w:pPr>
      <w:r>
        <w:rPr>
          <w:rFonts w:eastAsia="Times New Roman" w:cs="Times New Roman" w:ascii="Tahoma" w:hAnsi="Tahoma"/>
          <w:sz w:val="24"/>
          <w:szCs w:val="24"/>
        </w:rPr>
        <w:t xml:space="preserve">     </w:t>
      </w:r>
      <w:r>
        <w:rPr>
          <w:rFonts w:cs="Times New Roman" w:ascii="Tahoma" w:hAnsi="Tahoma"/>
          <w:sz w:val="24"/>
          <w:szCs w:val="24"/>
        </w:rPr>
        <w:t>Mais au cours des dernières décennies les réformes politiques fragilisent la FP, atténuent  la frontière Public/Privé et font prévaloir le contrat sur la loi, bien que la FP ait de toute évidence amorti la crise de 2008 en France.</w:t>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imes New Roman" w:hAnsi="Times New Roman" w:cs="Times New Roman"/>
          <w:sz w:val="24"/>
          <w:szCs w:val="24"/>
        </w:rPr>
      </w:pPr>
      <w:r>
        <w:rPr>
          <w:rFonts w:eastAsia="Times New Roman" w:cs="Times New Roman" w:ascii="Tahoma" w:hAnsi="Tahoma"/>
          <w:b/>
          <w:sz w:val="24"/>
          <w:szCs w:val="24"/>
        </w:rPr>
        <w:t xml:space="preserve">     </w:t>
      </w:r>
      <w:r>
        <w:rPr>
          <w:rFonts w:cs="Times New Roman" w:ascii="Tahoma" w:hAnsi="Tahoma"/>
          <w:b/>
          <w:sz w:val="24"/>
          <w:szCs w:val="24"/>
          <w:u w:val="single"/>
        </w:rPr>
        <w:t>Avec le New Public Management (NPM)</w:t>
      </w:r>
      <w:r>
        <w:rPr>
          <w:rFonts w:cs="Times New Roman" w:ascii="Tahoma" w:hAnsi="Tahoma"/>
          <w:sz w:val="24"/>
          <w:szCs w:val="24"/>
        </w:rPr>
        <w:t xml:space="preserve"> (émergence dans les années 70 avec la théorie économique néo-libérale de  l’école de Chicago), progresse l’idée qu’il y aurait « </w:t>
      </w:r>
      <w:r>
        <w:rPr>
          <w:rFonts w:cs="Times New Roman" w:ascii="Tahoma" w:hAnsi="Tahoma"/>
          <w:sz w:val="24"/>
          <w:szCs w:val="24"/>
          <w:u w:val="single"/>
        </w:rPr>
        <w:t>trop d’État</w:t>
      </w:r>
      <w:r>
        <w:rPr>
          <w:rFonts w:cs="Times New Roman" w:ascii="Tahoma" w:hAnsi="Tahoma"/>
          <w:sz w:val="24"/>
          <w:szCs w:val="24"/>
        </w:rPr>
        <w:t xml:space="preserve"> », que centralisation excessive et  bureaucratie lourde et sclérosée entraînent une rigidité juridique et administrative incapable d’adaptation. L’État  tend donc à se décharger de certaines missions confiées à des corps intermédiaires flexibles qui intègrent les caractères du privé. C’est la </w:t>
      </w:r>
      <w:r>
        <w:rPr>
          <w:rFonts w:cs="Times New Roman" w:ascii="Tahoma" w:hAnsi="Tahoma"/>
          <w:sz w:val="24"/>
          <w:szCs w:val="24"/>
          <w:u w:val="single"/>
        </w:rPr>
        <w:t>théorie de l’Agence</w:t>
      </w:r>
      <w:r>
        <w:rPr>
          <w:rFonts w:cs="Times New Roman" w:ascii="Tahoma" w:hAnsi="Tahoma"/>
          <w:sz w:val="24"/>
          <w:szCs w:val="24"/>
        </w:rPr>
        <w:t xml:space="preserve"> (Pôle emploi, ARS…).</w:t>
      </w:r>
    </w:p>
    <w:p>
      <w:pPr>
        <w:pStyle w:val="Normal"/>
        <w:spacing w:before="0" w:after="0"/>
        <w:jc w:val="both"/>
        <w:rPr>
          <w:rFonts w:ascii="Tahoma" w:hAnsi="Tahoma"/>
        </w:rPr>
      </w:pPr>
      <w:r>
        <w:rPr>
          <w:rFonts w:eastAsia="Times New Roman" w:cs="Times New Roman" w:ascii="Tahoma" w:hAnsi="Tahoma"/>
          <w:sz w:val="24"/>
          <w:szCs w:val="24"/>
        </w:rPr>
        <w:t xml:space="preserve">        </w:t>
      </w:r>
      <w:r>
        <w:rPr>
          <w:rFonts w:cs="Times New Roman" w:ascii="Tahoma" w:hAnsi="Tahoma"/>
          <w:sz w:val="24"/>
          <w:szCs w:val="24"/>
          <w:u w:val="single"/>
        </w:rPr>
        <w:t>Priorité est donnée au marché et aux énergies privées</w:t>
      </w:r>
      <w:r>
        <w:rPr>
          <w:rFonts w:cs="Times New Roman" w:ascii="Tahoma" w:hAnsi="Tahoma"/>
          <w:sz w:val="24"/>
          <w:szCs w:val="24"/>
        </w:rPr>
        <w:t xml:space="preserve"> puisque les méthodes de management du secteur privé sont déclarées meilleures que celles du public. On introduit la notion de performance et la culture du résultat dans la fonction publique. Parallèlement on  y limite les hausses de salaires, on s’en prend au statut, pas assez individuel, on affaiblit les syndicats (dans les commissions paritaires par exemple), on recrute des non-fonctionnaires dans les agences ou dans les ministères, en évinçant les fonctionnaires de carrière remplacés par des contractuels  et des personnes à profil nommées aux postes de gestion. Dans l’Éducation nationale, les pouvoirs du chef d’établissement sont accrus, on met en concurrence les agents jugés au mérite  et on envisagerait un nouveau corps d’enseignants venus du privé.</w:t>
      </w:r>
    </w:p>
    <w:p>
      <w:pPr>
        <w:pStyle w:val="Normal"/>
        <w:spacing w:before="0" w:after="0"/>
        <w:jc w:val="both"/>
        <w:rPr>
          <w:rFonts w:ascii="Tahoma" w:hAnsi="Tahoma"/>
        </w:rPr>
      </w:pPr>
      <w:r>
        <w:rPr>
          <w:rFonts w:eastAsia="Times New Roman" w:cs="Times New Roman" w:ascii="Tahoma" w:hAnsi="Tahoma"/>
          <w:sz w:val="24"/>
          <w:szCs w:val="24"/>
        </w:rPr>
        <w:t xml:space="preserve">        </w:t>
      </w:r>
      <w:r>
        <w:rPr>
          <w:rFonts w:cs="Times New Roman" w:ascii="Tahoma" w:hAnsi="Tahoma"/>
          <w:sz w:val="24"/>
          <w:szCs w:val="24"/>
          <w:u w:val="single"/>
        </w:rPr>
        <w:t>L’État devient donc un entrepreneur</w:t>
      </w:r>
      <w:r>
        <w:rPr>
          <w:rFonts w:cs="Times New Roman" w:ascii="Tahoma" w:hAnsi="Tahoma"/>
          <w:sz w:val="24"/>
          <w:szCs w:val="24"/>
        </w:rPr>
        <w:t xml:space="preserve"> ordinaire </w:t>
      </w:r>
      <w:r>
        <w:rPr>
          <w:rFonts w:cs="Times New Roman" w:ascii="Tahoma" w:hAnsi="Tahoma"/>
          <w:sz w:val="24"/>
          <w:szCs w:val="24"/>
          <w:u w:val="single"/>
        </w:rPr>
        <w:t>soucieux essentiellement de la rentabilité et de la dépense</w:t>
      </w:r>
      <w:r>
        <w:rPr>
          <w:rFonts w:cs="Times New Roman" w:ascii="Tahoma" w:hAnsi="Tahoma"/>
          <w:sz w:val="24"/>
          <w:szCs w:val="24"/>
        </w:rPr>
        <w:t xml:space="preserve">. La Commission soulignait qu’il est possible d’améliorer le service public en faisant des économies substantielles dans tous les domaines (Santé, Éducation, Justice, Fonction Publique, Emploi).  Hôpital et Sécurité sociale n’échappent pas à ces méthodes de gestion et l’on voit le résultat.  </w:t>
      </w:r>
    </w:p>
    <w:p>
      <w:pPr>
        <w:pStyle w:val="Normal"/>
        <w:spacing w:before="0" w:after="0"/>
        <w:jc w:val="both"/>
        <w:rPr>
          <w:rFonts w:ascii="Times New Roman" w:hAnsi="Times New Roman" w:cs="Times New Roman"/>
          <w:sz w:val="24"/>
          <w:szCs w:val="24"/>
        </w:rPr>
      </w:pPr>
      <w:r>
        <w:rPr>
          <w:rFonts w:cs="Times New Roman" w:ascii="Tahoma" w:hAnsi="Tahoma"/>
          <w:sz w:val="24"/>
          <w:szCs w:val="24"/>
        </w:rPr>
        <w:t xml:space="preserve">Usagers et acteurs des services publics sont donc pénalisés, sans que les choix politiques soient remis en cause et sans qu’on analyse </w:t>
      </w:r>
      <w:r>
        <w:rPr>
          <w:rFonts w:cs="Times New Roman" w:ascii="Tahoma" w:hAnsi="Tahoma"/>
          <w:sz w:val="24"/>
          <w:szCs w:val="24"/>
          <w:u w:val="single"/>
        </w:rPr>
        <w:t>l’échec de ce type de gestion en Suède</w:t>
      </w:r>
      <w:r>
        <w:rPr>
          <w:rFonts w:cs="Times New Roman" w:ascii="Tahoma" w:hAnsi="Tahoma"/>
          <w:sz w:val="24"/>
          <w:szCs w:val="24"/>
        </w:rPr>
        <w:t>, le pays qui a poussé le plus loin l’application de ces méthodes.</w:t>
      </w:r>
    </w:p>
    <w:p>
      <w:pPr>
        <w:pStyle w:val="Normal"/>
        <w:spacing w:before="0" w:after="0"/>
        <w:jc w:val="both"/>
        <w:rPr>
          <w:rFonts w:ascii="Tahoma" w:hAnsi="Tahoma"/>
        </w:rPr>
      </w:pPr>
      <w:r>
        <w:rPr>
          <w:rFonts w:cs="Times New Roman" w:ascii="Tahoma" w:hAnsi="Tahoma"/>
          <w:sz w:val="24"/>
          <w:szCs w:val="24"/>
          <w:u w:val="single"/>
        </w:rPr>
        <w:t>L’État démocratique est menacé</w:t>
      </w:r>
      <w:r>
        <w:rPr>
          <w:rFonts w:cs="Times New Roman" w:ascii="Tahoma" w:hAnsi="Tahoma"/>
          <w:sz w:val="24"/>
          <w:szCs w:val="24"/>
        </w:rPr>
        <w:t xml:space="preserve"> si l’on songe que ces méthodes flexibles, sans principes fondamentaux pourraient s’appliquer aux contrôles fiscaux, à la justice, à la défense ou aux affaires étrangères ! Or toutes les mesures gouvernementales actuelles vont en ce sens.</w:t>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ahoma" w:hAnsi="Tahoma"/>
        </w:rPr>
      </w:pPr>
      <w:r>
        <w:rPr>
          <w:rFonts w:cs="Times New Roman" w:ascii="Tahoma" w:hAnsi="Tahoma"/>
          <w:sz w:val="24"/>
          <w:szCs w:val="24"/>
        </w:rPr>
        <w:t>Néanmoins le marché a besoin pour fonctionner d’un certain ordre garanti par l’État, or le désengagement de la puissance publique propre à attirer les capitaux ne risque-t-il pas de remettre en cause l’existence même de l’État ? Le capitalisme n’est-il pas pris à son propre jeu puisque l’ordre nécessaire est en contradiction avec ses intérêts et ses choix économiques ultralibéraux ?</w:t>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imes New Roman" w:hAnsi="Times New Roman" w:cs="Times New Roman"/>
          <w:sz w:val="24"/>
          <w:szCs w:val="24"/>
        </w:rPr>
      </w:pPr>
      <w:r>
        <w:rPr>
          <w:rFonts w:cs="Times New Roman" w:ascii="Tahoma" w:hAnsi="Tahoma"/>
          <w:b/>
          <w:sz w:val="24"/>
          <w:szCs w:val="24"/>
          <w:u w:val="single"/>
        </w:rPr>
        <w:t>L’inquiétude pour l’avenir de notre pays s’exprime largement dans le débat</w:t>
      </w:r>
      <w:r>
        <w:rPr>
          <w:rFonts w:cs="Times New Roman" w:ascii="Tahoma" w:hAnsi="Tahoma"/>
          <w:sz w:val="24"/>
          <w:szCs w:val="24"/>
        </w:rPr>
        <w:t>. La lutte par la discussion avec les usagers sur le terrain semble seule capable de montrer que notre société a besoin de services publics. Il faut pouvoir résister au formatage des esprits qu’opère le gouvernement par l’intermédiaire des médias.</w:t>
      </w:r>
    </w:p>
    <w:p>
      <w:pPr>
        <w:pStyle w:val="Normal"/>
        <w:spacing w:before="0" w:after="0"/>
        <w:jc w:val="both"/>
        <w:rPr>
          <w:rFonts w:ascii="Tahoma" w:hAnsi="Tahoma" w:eastAsia="Times New Roman" w:cs="Times New Roman"/>
          <w:sz w:val="24"/>
          <w:szCs w:val="24"/>
        </w:rPr>
      </w:pPr>
      <w:r>
        <w:rPr>
          <w:rFonts w:eastAsia="Times New Roman" w:cs="Times New Roman" w:ascii="Tahoma" w:hAnsi="Tahoma"/>
          <w:sz w:val="24"/>
          <w:szCs w:val="24"/>
        </w:rPr>
        <w:t xml:space="preserve"> </w:t>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ahoma" w:hAnsi="Tahoma"/>
        </w:rPr>
      </w:pPr>
      <w:r>
        <w:rPr>
          <w:rFonts w:cs="Times New Roman" w:ascii="Tahoma" w:hAnsi="Tahoma"/>
          <w:b/>
          <w:sz w:val="28"/>
          <w:szCs w:val="28"/>
          <w:u w:val="single"/>
        </w:rPr>
        <w:t>FISCALITÉ</w:t>
      </w:r>
      <w:r>
        <w:rPr>
          <w:rFonts w:cs="Times New Roman" w:ascii="Tahoma" w:hAnsi="Tahoma"/>
          <w:sz w:val="28"/>
          <w:szCs w:val="28"/>
        </w:rPr>
        <w:t xml:space="preserve">    </w:t>
      </w:r>
      <w:r>
        <w:rPr>
          <w:rFonts w:cs="Times New Roman" w:ascii="Tahoma" w:hAnsi="Tahoma"/>
          <w:sz w:val="24"/>
          <w:szCs w:val="24"/>
        </w:rPr>
        <w:t>(Marc VEYRAT)</w:t>
      </w:r>
    </w:p>
    <w:p>
      <w:pPr>
        <w:pStyle w:val="Normal"/>
        <w:spacing w:before="0" w:after="0"/>
        <w:jc w:val="both"/>
        <w:rPr>
          <w:rFonts w:ascii="Times New Roman" w:hAnsi="Times New Roman" w:cs="Times New Roman"/>
          <w:sz w:val="24"/>
          <w:szCs w:val="24"/>
        </w:rPr>
      </w:pPr>
      <w:r>
        <w:rPr>
          <w:rFonts w:eastAsia="Times New Roman" w:cs="Times New Roman" w:ascii="Tahoma" w:hAnsi="Tahoma"/>
          <w:sz w:val="24"/>
          <w:szCs w:val="24"/>
        </w:rPr>
        <w:t xml:space="preserve">     </w:t>
      </w:r>
      <w:r>
        <w:rPr>
          <w:rFonts w:cs="Times New Roman" w:ascii="Tahoma" w:hAnsi="Tahoma"/>
          <w:sz w:val="24"/>
          <w:szCs w:val="24"/>
        </w:rPr>
        <w:t xml:space="preserve">Les  mesures  annoncées  pour  répondre  au mouvement des gilets jaunes s’élèvent à 10 milliards d’euros, dont une baisse de 5 milliards de l’impôt sur le revenu (IR).  </w:t>
      </w:r>
    </w:p>
    <w:p>
      <w:pPr>
        <w:pStyle w:val="Normal"/>
        <w:spacing w:before="0" w:after="0"/>
        <w:jc w:val="both"/>
        <w:rPr>
          <w:rFonts w:ascii="Tahoma" w:hAnsi="Tahoma"/>
        </w:rPr>
      </w:pPr>
      <w:r>
        <w:rPr>
          <w:rFonts w:cs="Times New Roman" w:ascii="Tahoma" w:hAnsi="Tahoma"/>
          <w:sz w:val="24"/>
          <w:szCs w:val="24"/>
        </w:rPr>
        <w:t xml:space="preserve">Elles ont creusé </w:t>
      </w:r>
      <w:r>
        <w:rPr>
          <w:rFonts w:cs="Times New Roman" w:ascii="Tahoma" w:hAnsi="Tahoma"/>
          <w:b/>
          <w:sz w:val="24"/>
          <w:szCs w:val="24"/>
        </w:rPr>
        <w:t xml:space="preserve">le déficit du budget national : </w:t>
      </w:r>
      <w:r>
        <w:rPr>
          <w:rFonts w:cs="Times New Roman" w:ascii="Tahoma" w:hAnsi="Tahoma"/>
          <w:sz w:val="24"/>
          <w:szCs w:val="24"/>
        </w:rPr>
        <w:t>107 milliards d’€ pour 2019, soit 99% du PIB, et la barre des 3% fixée par l’Europe sera dépassée (3,2 ou 3,4%). Mais ces pourcentages ne sont que relatifs quand on songe que des pays comme les USA ou le Japon sont bien au-delà de ces chiffres.</w:t>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imes New Roman" w:hAnsi="Times New Roman" w:cs="Times New Roman"/>
          <w:sz w:val="24"/>
          <w:szCs w:val="24"/>
        </w:rPr>
      </w:pPr>
      <w:r>
        <w:rPr>
          <w:rFonts w:cs="Times New Roman" w:ascii="Tahoma" w:hAnsi="Tahoma"/>
          <w:sz w:val="24"/>
          <w:szCs w:val="24"/>
          <w:u w:val="single"/>
        </w:rPr>
        <w:t>Souhaitant ramener</w:t>
      </w:r>
      <w:r>
        <w:rPr>
          <w:rFonts w:ascii="Tahoma" w:hAnsi="Tahoma"/>
        </w:rPr>
        <w:t xml:space="preserve"> </w:t>
      </w:r>
      <w:r>
        <w:rPr>
          <w:rFonts w:cs="Times New Roman" w:ascii="Tahoma" w:hAnsi="Tahoma"/>
          <w:sz w:val="24"/>
          <w:szCs w:val="24"/>
          <w:u w:val="single"/>
        </w:rPr>
        <w:t>le déficit à 95% du PIB en 2022,  le gouvernement annonce donc une loi de finance rectificative, mais sans vision globale de la fiscalité</w:t>
      </w:r>
      <w:r>
        <w:rPr>
          <w:rFonts w:cs="Times New Roman" w:ascii="Tahoma" w:hAnsi="Tahoma"/>
          <w:sz w:val="24"/>
          <w:szCs w:val="24"/>
        </w:rPr>
        <w:t xml:space="preserve">. </w:t>
      </w:r>
    </w:p>
    <w:p>
      <w:pPr>
        <w:pStyle w:val="Normal"/>
        <w:spacing w:before="0" w:after="0"/>
        <w:jc w:val="both"/>
        <w:rPr>
          <w:rFonts w:ascii="Tahoma" w:hAnsi="Tahoma"/>
        </w:rPr>
      </w:pPr>
      <w:r>
        <w:rPr>
          <w:rFonts w:eastAsia="Times New Roman" w:cs="Times New Roman" w:ascii="Tahoma" w:hAnsi="Tahoma"/>
          <w:sz w:val="24"/>
          <w:szCs w:val="24"/>
        </w:rPr>
        <w:t xml:space="preserve">   </w:t>
      </w:r>
      <w:r>
        <w:rPr>
          <w:rFonts w:cs="Times New Roman" w:ascii="Tahoma" w:hAnsi="Tahoma"/>
          <w:sz w:val="24"/>
          <w:szCs w:val="24"/>
        </w:rPr>
        <w:t>Des pistes sont lancées : création de tranches supplémentaires d’impôt sur le revenu (IR), suppression de niches fiscales, mais les lobbies intercèdent, transformation du CICE, taxe sur le kérosène sur les lignes aériennes intérieures, réhabilitation des immeubles anciens, mise à contribution de la politique du logement avec une réduction du financement des HLM, réforme de l’audiovisuel, révision de l’assurance chômage……Mais rien sur l’ISF, la flat taxe, l’exit taxe, et pas de réforme fiscale de fond.</w:t>
      </w:r>
    </w:p>
    <w:p>
      <w:pPr>
        <w:pStyle w:val="Normal"/>
        <w:spacing w:before="0" w:after="0"/>
        <w:jc w:val="both"/>
        <w:rPr>
          <w:rFonts w:ascii="Times New Roman" w:hAnsi="Times New Roman" w:cs="Times New Roman"/>
          <w:sz w:val="24"/>
          <w:szCs w:val="24"/>
        </w:rPr>
      </w:pPr>
      <w:r>
        <w:rPr>
          <w:rFonts w:eastAsia="Times New Roman" w:cs="Times New Roman" w:ascii="Tahoma" w:hAnsi="Tahoma"/>
          <w:sz w:val="24"/>
          <w:szCs w:val="24"/>
        </w:rPr>
        <w:t xml:space="preserve">   </w:t>
      </w:r>
      <w:r>
        <w:rPr>
          <w:rFonts w:cs="Times New Roman" w:ascii="Tahoma" w:hAnsi="Tahoma"/>
          <w:sz w:val="24"/>
          <w:szCs w:val="24"/>
          <w:u w:val="single"/>
        </w:rPr>
        <w:t>Le budget 2020 marquera une nouvelle baisse des dépenses publiques</w:t>
      </w:r>
      <w:r>
        <w:rPr>
          <w:rFonts w:cs="Times New Roman" w:ascii="Tahoma" w:hAnsi="Tahoma"/>
          <w:sz w:val="24"/>
          <w:szCs w:val="24"/>
        </w:rPr>
        <w:t xml:space="preserve"> avec davantage de suppressions de postes (aux finances particulièrement, ce qui rend très rares les vérifications d’entreprises et plus difficiles les contrôles de fraude fiscale).</w:t>
      </w:r>
    </w:p>
    <w:p>
      <w:pPr>
        <w:pStyle w:val="Normal"/>
        <w:spacing w:before="0" w:after="0"/>
        <w:jc w:val="both"/>
        <w:rPr>
          <w:rFonts w:ascii="Tahoma" w:hAnsi="Tahoma"/>
        </w:rPr>
      </w:pPr>
      <w:r>
        <w:rPr>
          <w:rFonts w:eastAsia="Times New Roman" w:cs="Times New Roman" w:ascii="Tahoma" w:hAnsi="Tahoma"/>
          <w:sz w:val="24"/>
          <w:szCs w:val="24"/>
        </w:rPr>
        <w:t xml:space="preserve">   </w:t>
      </w:r>
      <w:r>
        <w:rPr>
          <w:rFonts w:cs="Times New Roman" w:ascii="Tahoma" w:hAnsi="Tahoma"/>
          <w:sz w:val="24"/>
          <w:szCs w:val="24"/>
          <w:u w:val="single"/>
        </w:rPr>
        <w:t>La réforme des retraites</w:t>
      </w:r>
      <w:r>
        <w:rPr>
          <w:rFonts w:cs="Times New Roman" w:ascii="Tahoma" w:hAnsi="Tahoma"/>
          <w:sz w:val="24"/>
          <w:szCs w:val="24"/>
        </w:rPr>
        <w:t>, avec des mesures transitoires dès 2020, tend à allonger les durées de cotisations.</w:t>
      </w:r>
    </w:p>
    <w:p>
      <w:pPr>
        <w:pStyle w:val="Normal"/>
        <w:spacing w:before="0" w:after="0"/>
        <w:jc w:val="both"/>
        <w:rPr>
          <w:rFonts w:ascii="Tahoma" w:hAnsi="Tahoma" w:eastAsia="Times New Roman" w:cs="Times New Roman"/>
          <w:sz w:val="24"/>
          <w:szCs w:val="24"/>
        </w:rPr>
      </w:pPr>
      <w:r>
        <w:rPr>
          <w:rFonts w:eastAsia="Times New Roman" w:cs="Times New Roman" w:ascii="Tahoma" w:hAnsi="Tahoma"/>
          <w:sz w:val="24"/>
          <w:szCs w:val="24"/>
        </w:rPr>
        <w:t xml:space="preserve">   </w:t>
      </w:r>
    </w:p>
    <w:p>
      <w:pPr>
        <w:pStyle w:val="Normal"/>
        <w:spacing w:before="0" w:after="0"/>
        <w:jc w:val="both"/>
        <w:rPr>
          <w:rFonts w:ascii="Times New Roman" w:hAnsi="Times New Roman" w:cs="Times New Roman"/>
          <w:sz w:val="24"/>
          <w:szCs w:val="24"/>
        </w:rPr>
      </w:pPr>
      <w:r>
        <w:rPr>
          <w:rFonts w:eastAsia="Times New Roman" w:cs="Times New Roman" w:ascii="Tahoma" w:hAnsi="Tahoma"/>
          <w:sz w:val="24"/>
          <w:szCs w:val="24"/>
        </w:rPr>
        <w:t xml:space="preserve">   </w:t>
      </w:r>
      <w:r>
        <w:rPr>
          <w:rFonts w:cs="Times New Roman" w:ascii="Tahoma" w:hAnsi="Tahoma"/>
          <w:sz w:val="24"/>
          <w:szCs w:val="24"/>
          <w:u w:val="single"/>
        </w:rPr>
        <w:t>Quelques éléments positifs sur la fiscalité au niveau de l’Europe</w:t>
      </w:r>
      <w:r>
        <w:rPr>
          <w:rFonts w:cs="Times New Roman" w:ascii="Tahoma" w:hAnsi="Tahoma"/>
          <w:sz w:val="24"/>
          <w:szCs w:val="24"/>
        </w:rPr>
        <w:t> : actualisation de la liste des paradis fiscaux, directive sur l’échange de renseignements et sur la lutte contre la fraude transfrontalière à la TVA, projet d’une base commune d’impôt sur les sociétés.</w:t>
      </w:r>
    </w:p>
    <w:p>
      <w:pPr>
        <w:pStyle w:val="Normal"/>
        <w:spacing w:before="0" w:after="0"/>
        <w:jc w:val="both"/>
        <w:rPr>
          <w:rFonts w:ascii="Times New Roman" w:hAnsi="Times New Roman" w:cs="Times New Roman"/>
          <w:sz w:val="24"/>
          <w:szCs w:val="24"/>
        </w:rPr>
      </w:pPr>
      <w:r>
        <w:rPr>
          <w:rFonts w:cs="Times New Roman" w:ascii="Tahoma" w:hAnsi="Tahoma"/>
          <w:sz w:val="24"/>
          <w:szCs w:val="24"/>
        </w:rPr>
        <w:t>Et le budget européen aide l’agriculture et permet des restaurations (de routes, de monuments…)</w:t>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imes New Roman" w:hAnsi="Times New Roman" w:cs="Times New Roman"/>
          <w:sz w:val="24"/>
          <w:szCs w:val="24"/>
        </w:rPr>
      </w:pPr>
      <w:r>
        <w:rPr>
          <w:rFonts w:cs="Times New Roman" w:ascii="Tahoma" w:hAnsi="Tahoma"/>
          <w:b/>
          <w:sz w:val="24"/>
          <w:szCs w:val="24"/>
          <w:u w:val="single"/>
        </w:rPr>
        <w:t>La fiscalité locale</w:t>
      </w:r>
      <w:r>
        <w:rPr>
          <w:rFonts w:cs="Times New Roman" w:ascii="Tahoma" w:hAnsi="Tahoma"/>
          <w:sz w:val="24"/>
          <w:szCs w:val="24"/>
        </w:rPr>
        <w:t xml:space="preserve"> : </w:t>
      </w:r>
    </w:p>
    <w:p>
      <w:pPr>
        <w:pStyle w:val="Normal"/>
        <w:spacing w:before="0" w:after="0"/>
        <w:jc w:val="both"/>
        <w:rPr>
          <w:rFonts w:ascii="Times New Roman" w:hAnsi="Times New Roman" w:cs="Times New Roman"/>
          <w:sz w:val="24"/>
          <w:szCs w:val="24"/>
        </w:rPr>
      </w:pPr>
      <w:r>
        <w:rPr>
          <w:rFonts w:cs="Times New Roman" w:ascii="Tahoma" w:hAnsi="Tahoma"/>
          <w:sz w:val="24"/>
          <w:szCs w:val="24"/>
        </w:rPr>
        <w:t>Pour compenser le manque à gagner avec la suppression de la taxe d’habitation(TH)  pour certains, des communes ont augmenté les taux de TH, et la taxe foncière va vraisemblablement exploser.</w:t>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ahoma" w:hAnsi="Tahoma"/>
        </w:rPr>
      </w:pPr>
      <w:r>
        <w:rPr>
          <w:rFonts w:cs="Times New Roman" w:ascii="Tahoma" w:hAnsi="Tahoma"/>
          <w:b/>
          <w:sz w:val="24"/>
          <w:szCs w:val="24"/>
          <w:u w:val="single"/>
        </w:rPr>
        <w:t>Pouvoir d’achat</w:t>
      </w:r>
      <w:r>
        <w:rPr>
          <w:rFonts w:cs="Times New Roman" w:ascii="Tahoma" w:hAnsi="Tahoma"/>
          <w:sz w:val="24"/>
          <w:szCs w:val="24"/>
        </w:rPr>
        <w:t> :</w:t>
      </w:r>
    </w:p>
    <w:p>
      <w:pPr>
        <w:pStyle w:val="Normal"/>
        <w:spacing w:before="0" w:after="0"/>
        <w:jc w:val="both"/>
        <w:rPr>
          <w:rFonts w:ascii="Tahoma" w:hAnsi="Tahoma" w:cs="Times New Roman"/>
          <w:sz w:val="24"/>
          <w:szCs w:val="24"/>
        </w:rPr>
      </w:pPr>
      <w:r>
        <w:rPr>
          <w:rFonts w:cs="Times New Roman" w:ascii="Tahoma" w:hAnsi="Tahoma"/>
          <w:sz w:val="24"/>
          <w:szCs w:val="24"/>
        </w:rPr>
        <w:t xml:space="preserve">11 millions de retraités ont bénéficié des mesures accordées par le gouvernement, </w:t>
      </w:r>
    </w:p>
    <w:p>
      <w:pPr>
        <w:pStyle w:val="Normal"/>
        <w:spacing w:before="0" w:after="0"/>
        <w:jc w:val="both"/>
        <w:rPr>
          <w:rFonts w:ascii="Tahoma" w:hAnsi="Tahoma"/>
        </w:rPr>
      </w:pPr>
      <w:r>
        <w:rPr>
          <w:rFonts w:cs="Times New Roman" w:ascii="Tahoma" w:hAnsi="Tahoma"/>
          <w:sz w:val="24"/>
          <w:szCs w:val="24"/>
        </w:rPr>
        <w:t>Mais 5 millions n’ont rien eu tandis que le coût de la vie augmente pour tous :</w:t>
      </w:r>
    </w:p>
    <w:p>
      <w:pPr>
        <w:pStyle w:val="Normal"/>
        <w:spacing w:before="0" w:after="0"/>
        <w:jc w:val="both"/>
        <w:rPr>
          <w:rFonts w:ascii="Tahoma" w:hAnsi="Tahoma"/>
        </w:rPr>
      </w:pPr>
      <w:r>
        <w:rPr>
          <w:rFonts w:cs="Times New Roman" w:ascii="Tahoma" w:hAnsi="Tahoma"/>
          <w:sz w:val="24"/>
          <w:szCs w:val="24"/>
        </w:rPr>
        <w:t>augmentation du prix des carburants, augmentation de 6% du prix de l’électricité pour ne pas défavoriser les concurrents (alors que le tarif réglementé devait être maintenu).</w:t>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ahoma" w:hAnsi="Tahoma"/>
        </w:rPr>
      </w:pPr>
      <w:r>
        <w:rPr>
          <w:rFonts w:cs="Times New Roman" w:ascii="Tahoma" w:hAnsi="Tahoma"/>
          <w:b/>
          <w:sz w:val="24"/>
          <w:szCs w:val="24"/>
          <w:u w:val="single"/>
        </w:rPr>
        <w:t>Des inquiétudes pour l’avenir</w:t>
      </w:r>
      <w:r>
        <w:rPr>
          <w:rFonts w:cs="Times New Roman" w:ascii="Tahoma" w:hAnsi="Tahoma"/>
          <w:sz w:val="24"/>
          <w:szCs w:val="24"/>
        </w:rPr>
        <w:t> :</w:t>
      </w:r>
    </w:p>
    <w:p>
      <w:pPr>
        <w:pStyle w:val="Normal"/>
        <w:spacing w:before="0" w:after="0"/>
        <w:jc w:val="both"/>
        <w:rPr>
          <w:rFonts w:ascii="Tahoma" w:hAnsi="Tahoma"/>
        </w:rPr>
      </w:pPr>
      <w:r>
        <w:rPr>
          <w:rFonts w:cs="Times New Roman" w:ascii="Tahoma" w:hAnsi="Tahoma"/>
          <w:sz w:val="24"/>
          <w:szCs w:val="24"/>
        </w:rPr>
        <w:t>La réduction annoncée des centrales nucléaires pose problème, car le nucléaire coûte moins cher que l’éolien, et on a fermé presque toutes les centrales thermiques.</w:t>
      </w:r>
    </w:p>
    <w:p>
      <w:pPr>
        <w:pStyle w:val="Normal"/>
        <w:spacing w:before="0" w:after="0"/>
        <w:jc w:val="both"/>
        <w:rPr>
          <w:rFonts w:ascii="Tahoma" w:hAnsi="Tahoma"/>
        </w:rPr>
      </w:pPr>
      <w:r>
        <w:rPr>
          <w:rFonts w:cs="Times New Roman" w:ascii="Tahoma" w:hAnsi="Tahoma"/>
          <w:sz w:val="24"/>
          <w:szCs w:val="24"/>
        </w:rPr>
        <w:t xml:space="preserve">Par ailleurs, alors que toutes  les infrastructures sont rentables,  menace de </w:t>
      </w:r>
      <w:r>
        <w:rPr>
          <w:rFonts w:cs="Times New Roman" w:ascii="Tahoma" w:hAnsi="Tahoma"/>
          <w:sz w:val="24"/>
          <w:szCs w:val="24"/>
          <w:u w:val="single"/>
        </w:rPr>
        <w:t>privatisation d’ADP</w:t>
      </w:r>
      <w:r>
        <w:rPr>
          <w:rFonts w:cs="Times New Roman" w:ascii="Tahoma" w:hAnsi="Tahoma"/>
          <w:sz w:val="24"/>
          <w:szCs w:val="24"/>
        </w:rPr>
        <w:t xml:space="preserve"> (aéroports de Paris) et des barrages hydrauliques. </w:t>
      </w:r>
      <w:r>
        <w:rPr>
          <w:rFonts w:cs="Times New Roman" w:ascii="Tahoma" w:hAnsi="Tahoma"/>
          <w:b/>
          <w:sz w:val="24"/>
          <w:szCs w:val="24"/>
          <w:u w:val="single"/>
        </w:rPr>
        <w:t>Pour ADP le référendum officiel</w:t>
      </w:r>
      <w:r>
        <w:rPr>
          <w:rFonts w:cs="Times New Roman" w:ascii="Tahoma" w:hAnsi="Tahoma"/>
          <w:sz w:val="24"/>
          <w:szCs w:val="24"/>
          <w:u w:val="single"/>
        </w:rPr>
        <w:t xml:space="preserve"> est ouvert</w:t>
      </w:r>
      <w:r>
        <w:rPr>
          <w:rFonts w:cs="Times New Roman" w:ascii="Tahoma" w:hAnsi="Tahoma"/>
          <w:sz w:val="24"/>
          <w:szCs w:val="24"/>
        </w:rPr>
        <w:t xml:space="preserve"> sur internet, mais l’enregistrement n’est pas aisé et aucune publicité n’est faite ; nombre de citoyens risquent donc de ne pas participer à la consultation.</w:t>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imes New Roman" w:hAnsi="Times New Roman" w:cs="Times New Roman"/>
          <w:sz w:val="24"/>
          <w:szCs w:val="24"/>
        </w:rPr>
      </w:pPr>
      <w:r>
        <w:rPr>
          <w:rFonts w:eastAsia="Times New Roman" w:cs="Times New Roman" w:ascii="Tahoma" w:hAnsi="Tahoma"/>
          <w:sz w:val="24"/>
          <w:szCs w:val="24"/>
        </w:rPr>
        <w:t xml:space="preserve">    </w:t>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imes New Roman" w:hAnsi="Times New Roman" w:cs="Times New Roman"/>
          <w:sz w:val="24"/>
          <w:szCs w:val="24"/>
        </w:rPr>
      </w:pPr>
      <w:r>
        <w:rPr>
          <w:rFonts w:eastAsia="Times New Roman" w:cs="Times New Roman" w:ascii="Tahoma" w:hAnsi="Tahoma"/>
          <w:sz w:val="24"/>
          <w:szCs w:val="24"/>
        </w:rPr>
        <w:t xml:space="preserve"> </w:t>
      </w:r>
    </w:p>
    <w:p>
      <w:pPr>
        <w:pStyle w:val="Normal"/>
        <w:spacing w:before="0" w:after="0"/>
        <w:jc w:val="both"/>
        <w:rPr>
          <w:rFonts w:ascii="Tahoma" w:hAnsi="Tahoma" w:cs="Times New Roman"/>
          <w:sz w:val="24"/>
          <w:szCs w:val="24"/>
        </w:rPr>
      </w:pPr>
      <w:r>
        <w:rPr>
          <w:rFonts w:cs="Times New Roman" w:ascii="Tahoma" w:hAnsi="Tahoma"/>
          <w:sz w:val="24"/>
          <w:szCs w:val="24"/>
        </w:rPr>
      </w:r>
    </w:p>
    <w:p>
      <w:pPr>
        <w:pStyle w:val="Normal"/>
        <w:spacing w:before="0" w:after="0"/>
        <w:jc w:val="both"/>
        <w:rPr>
          <w:rFonts w:ascii="Tahoma" w:hAnsi="Tahoma" w:cs="Times New Roman"/>
          <w:b/>
          <w:b/>
          <w:sz w:val="24"/>
          <w:szCs w:val="24"/>
          <w:u w:val="single"/>
        </w:rPr>
      </w:pPr>
      <w:r>
        <w:rPr>
          <w:rFonts w:cs="Times New Roman" w:ascii="Tahoma" w:hAnsi="Tahoma"/>
          <w:b/>
          <w:sz w:val="24"/>
          <w:szCs w:val="24"/>
          <w:u w:val="single"/>
        </w:rPr>
      </w:r>
    </w:p>
    <w:p>
      <w:pPr>
        <w:pStyle w:val="Normal"/>
        <w:jc w:val="both"/>
        <w:rPr>
          <w:rFonts w:ascii="Tahoma" w:hAnsi="Tahoma" w:cs="Times New Roman"/>
          <w:b/>
          <w:b/>
          <w:sz w:val="24"/>
          <w:szCs w:val="24"/>
          <w:u w:val="single"/>
        </w:rPr>
      </w:pPr>
      <w:r>
        <w:rPr>
          <w:rFonts w:cs="Times New Roman" w:ascii="Tahoma" w:hAnsi="Tahoma"/>
          <w:b/>
          <w:sz w:val="24"/>
          <w:szCs w:val="24"/>
          <w:u w:val="single"/>
        </w:rPr>
      </w:r>
    </w:p>
    <w:p>
      <w:pPr>
        <w:pStyle w:val="Normal"/>
        <w:spacing w:before="0" w:after="200"/>
        <w:jc w:val="both"/>
        <w:rPr/>
      </w:pPr>
      <w:r>
        <w:rPr/>
      </w:r>
    </w:p>
    <w:sectPr>
      <w:type w:val="nextPage"/>
      <w:pgSz w:w="11906" w:h="16838"/>
      <w:pgMar w:left="1843" w:right="991" w:header="0" w:top="709"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re1"/>
      <w:numFmt w:val="none"/>
      <w:suff w:val="nothing"/>
      <w:lvlText w:val=""/>
      <w:lvlJc w:val="left"/>
      <w:pPr>
        <w:ind w:left="0" w:hanging="0"/>
      </w:pPr>
    </w:lvl>
    <w:lvl w:ilvl="1">
      <w:start w:val="1"/>
      <w:pStyle w:val="Titre2"/>
      <w:numFmt w:val="none"/>
      <w:suff w:val="nothing"/>
      <w:lvlText w:val=""/>
      <w:lvlJc w:val="left"/>
      <w:pPr>
        <w:ind w:left="0" w:hanging="0"/>
      </w:pPr>
    </w:lvl>
    <w:lvl w:ilvl="2">
      <w:start w:val="1"/>
      <w:pStyle w:val="Titre3"/>
      <w:numFmt w:val="none"/>
      <w:suff w:val="nothing"/>
      <w:lvlText w:val=""/>
      <w:lvlJc w:val="left"/>
      <w:pPr>
        <w:ind w:left="0" w:hanging="0"/>
      </w:pPr>
    </w:lvl>
    <w:lvl w:ilvl="3">
      <w:start w:val="1"/>
      <w:pStyle w:val="Titre4"/>
      <w:numFmt w:val="none"/>
      <w:suff w:val="nothing"/>
      <w:lvlText w:val=""/>
      <w:lvlJc w:val="left"/>
      <w:pPr>
        <w:ind w:left="0" w:hanging="0"/>
      </w:pPr>
    </w:lvl>
    <w:lvl w:ilvl="4">
      <w:start w:val="1"/>
      <w:pStyle w:val="Titre5"/>
      <w:numFmt w:val="none"/>
      <w:suff w:val="nothing"/>
      <w:lvlText w:val=""/>
      <w:lvlJc w:val="left"/>
      <w:pPr>
        <w:ind w:left="0" w:hanging="0"/>
      </w:pPr>
    </w:lvl>
    <w:lvl w:ilvl="5">
      <w:start w:val="1"/>
      <w:pStyle w:val="Titre6"/>
      <w:numFmt w:val="none"/>
      <w:suff w:val="nothing"/>
      <w:lvlText w:val=""/>
      <w:lvlJc w:val="left"/>
      <w:pPr>
        <w:ind w:left="0" w:hanging="0"/>
      </w:pPr>
    </w:lvl>
    <w:lvl w:ilvl="6">
      <w:start w:val="1"/>
      <w:pStyle w:val="Titre7"/>
      <w:numFmt w:val="none"/>
      <w:suff w:val="nothing"/>
      <w:lvlText w:val=""/>
      <w:lvlJc w:val="left"/>
      <w:pPr>
        <w:ind w:left="0" w:hanging="0"/>
      </w:pPr>
    </w:lvl>
    <w:lvl w:ilvl="7">
      <w:start w:val="1"/>
      <w:pStyle w:val="Titre8"/>
      <w:numFmt w:val="none"/>
      <w:suff w:val="nothing"/>
      <w:lvlText w:val=""/>
      <w:lvlJc w:val="left"/>
      <w:pPr>
        <w:ind w:left="0" w:hanging="0"/>
      </w:pPr>
    </w:lvl>
    <w:lvl w:ilvl="8">
      <w:start w:val="1"/>
      <w:pStyle w:val="Titre9"/>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90"/>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fr-FR" w:eastAsia="zh-CN" w:bidi="hi-IN"/>
      </w:rPr>
    </w:rPrDefault>
    <w:pPrDefault>
      <w:pPr/>
    </w:pPrDefault>
  </w:docDefaults>
  <w:style w:type="paragraph" w:styleId="Normal">
    <w:name w:val="Normal"/>
    <w:qFormat/>
    <w:pPr>
      <w:widowControl/>
      <w:bidi w:val="0"/>
      <w:spacing w:lineRule="auto" w:line="276" w:before="0" w:after="200"/>
      <w:jc w:val="left"/>
    </w:pPr>
    <w:rPr>
      <w:rFonts w:ascii="Calibri" w:hAnsi="Calibri" w:eastAsia="Calibri" w:cs="Times New Roman"/>
      <w:color w:val="auto"/>
      <w:kern w:val="0"/>
      <w:sz w:val="22"/>
      <w:szCs w:val="22"/>
      <w:lang w:val="fr-FR" w:eastAsia="zh-CN" w:bidi="ar-SA"/>
    </w:rPr>
  </w:style>
  <w:style w:type="paragraph" w:styleId="Titre1">
    <w:name w:val="Heading 1"/>
    <w:basedOn w:val="Normal"/>
    <w:next w:val="Normal"/>
    <w:qFormat/>
    <w:pPr>
      <w:keepNext w:val="true"/>
      <w:numPr>
        <w:ilvl w:val="0"/>
        <w:numId w:val="1"/>
      </w:numPr>
      <w:spacing w:before="240" w:after="60"/>
      <w:outlineLvl w:val="0"/>
    </w:pPr>
    <w:rPr>
      <w:rFonts w:ascii="Cambria" w:hAnsi="Cambria" w:eastAsia="Times New Roman" w:cs="Times New Roman"/>
      <w:b/>
      <w:bCs/>
      <w:kern w:val="2"/>
      <w:sz w:val="32"/>
      <w:szCs w:val="32"/>
    </w:rPr>
  </w:style>
  <w:style w:type="paragraph" w:styleId="Titre2">
    <w:name w:val="Heading 2"/>
    <w:basedOn w:val="Normal"/>
    <w:next w:val="Normal"/>
    <w:qFormat/>
    <w:pPr>
      <w:keepNext w:val="true"/>
      <w:numPr>
        <w:ilvl w:val="1"/>
        <w:numId w:val="1"/>
      </w:numPr>
      <w:spacing w:before="240" w:after="60"/>
      <w:outlineLvl w:val="1"/>
    </w:pPr>
    <w:rPr>
      <w:rFonts w:ascii="Cambria" w:hAnsi="Cambria" w:eastAsia="Times New Roman" w:cs="Times New Roman"/>
      <w:b/>
      <w:bCs/>
      <w:i/>
      <w:iCs/>
      <w:sz w:val="28"/>
      <w:szCs w:val="28"/>
    </w:rPr>
  </w:style>
  <w:style w:type="paragraph" w:styleId="Titre3">
    <w:name w:val="Heading 3"/>
    <w:basedOn w:val="Normal"/>
    <w:next w:val="Normal"/>
    <w:qFormat/>
    <w:pPr>
      <w:keepNext w:val="true"/>
      <w:numPr>
        <w:ilvl w:val="2"/>
        <w:numId w:val="1"/>
      </w:numPr>
      <w:spacing w:before="240" w:after="60"/>
      <w:outlineLvl w:val="2"/>
    </w:pPr>
    <w:rPr>
      <w:rFonts w:ascii="Cambria" w:hAnsi="Cambria" w:eastAsia="Times New Roman" w:cs="Times New Roman"/>
      <w:b/>
      <w:bCs/>
      <w:sz w:val="26"/>
      <w:szCs w:val="26"/>
    </w:rPr>
  </w:style>
  <w:style w:type="paragraph" w:styleId="Titre4">
    <w:name w:val="Heading 4"/>
    <w:basedOn w:val="Normal"/>
    <w:next w:val="Normal"/>
    <w:qFormat/>
    <w:pPr>
      <w:keepNext w:val="true"/>
      <w:numPr>
        <w:ilvl w:val="3"/>
        <w:numId w:val="1"/>
      </w:numPr>
      <w:spacing w:before="240" w:after="60"/>
      <w:outlineLvl w:val="3"/>
    </w:pPr>
    <w:rPr>
      <w:rFonts w:ascii="Calibri" w:hAnsi="Calibri" w:eastAsia="Times New Roman" w:cs="Times New Roman"/>
      <w:b/>
      <w:bCs/>
      <w:sz w:val="28"/>
      <w:szCs w:val="28"/>
    </w:rPr>
  </w:style>
  <w:style w:type="paragraph" w:styleId="Titre5">
    <w:name w:val="Heading 5"/>
    <w:basedOn w:val="Normal"/>
    <w:next w:val="Normal"/>
    <w:qFormat/>
    <w:pPr>
      <w:numPr>
        <w:ilvl w:val="4"/>
        <w:numId w:val="1"/>
      </w:numPr>
      <w:spacing w:before="240" w:after="60"/>
      <w:outlineLvl w:val="4"/>
    </w:pPr>
    <w:rPr>
      <w:rFonts w:ascii="Calibri" w:hAnsi="Calibri" w:eastAsia="Times New Roman" w:cs="Times New Roman"/>
      <w:b/>
      <w:bCs/>
      <w:i/>
      <w:iCs/>
      <w:sz w:val="26"/>
      <w:szCs w:val="26"/>
    </w:rPr>
  </w:style>
  <w:style w:type="paragraph" w:styleId="Titre6">
    <w:name w:val="Heading 6"/>
    <w:basedOn w:val="Normal"/>
    <w:next w:val="Normal"/>
    <w:qFormat/>
    <w:pPr>
      <w:numPr>
        <w:ilvl w:val="5"/>
        <w:numId w:val="1"/>
      </w:numPr>
      <w:spacing w:before="240" w:after="60"/>
      <w:outlineLvl w:val="5"/>
    </w:pPr>
    <w:rPr>
      <w:rFonts w:ascii="Calibri" w:hAnsi="Calibri" w:eastAsia="Times New Roman" w:cs="Times New Roman"/>
      <w:b/>
      <w:bCs/>
    </w:rPr>
  </w:style>
  <w:style w:type="paragraph" w:styleId="Titre7">
    <w:name w:val="Heading 7"/>
    <w:basedOn w:val="Normal"/>
    <w:next w:val="Normal"/>
    <w:qFormat/>
    <w:pPr>
      <w:numPr>
        <w:ilvl w:val="6"/>
        <w:numId w:val="1"/>
      </w:numPr>
      <w:spacing w:before="240" w:after="60"/>
      <w:outlineLvl w:val="6"/>
    </w:pPr>
    <w:rPr>
      <w:rFonts w:ascii="Calibri" w:hAnsi="Calibri" w:eastAsia="Times New Roman" w:cs="Times New Roman"/>
      <w:sz w:val="24"/>
      <w:szCs w:val="24"/>
    </w:rPr>
  </w:style>
  <w:style w:type="paragraph" w:styleId="Titre8">
    <w:name w:val="Heading 8"/>
    <w:basedOn w:val="Normal"/>
    <w:next w:val="Normal"/>
    <w:qFormat/>
    <w:pPr>
      <w:numPr>
        <w:ilvl w:val="7"/>
        <w:numId w:val="1"/>
      </w:numPr>
      <w:spacing w:before="240" w:after="60"/>
      <w:outlineLvl w:val="7"/>
    </w:pPr>
    <w:rPr>
      <w:rFonts w:ascii="Calibri" w:hAnsi="Calibri" w:eastAsia="Times New Roman" w:cs="Times New Roman"/>
      <w:i/>
      <w:iCs/>
      <w:sz w:val="24"/>
      <w:szCs w:val="24"/>
    </w:rPr>
  </w:style>
  <w:style w:type="paragraph" w:styleId="Titre9">
    <w:name w:val="Heading 9"/>
    <w:basedOn w:val="Normal"/>
    <w:next w:val="Normal"/>
    <w:qFormat/>
    <w:pPr>
      <w:numPr>
        <w:ilvl w:val="8"/>
        <w:numId w:val="1"/>
      </w:numPr>
      <w:spacing w:before="240" w:after="60"/>
      <w:outlineLvl w:val="8"/>
    </w:pPr>
    <w:rPr>
      <w:rFonts w:ascii="Cambria" w:hAnsi="Cambria" w:eastAsia="Times New Roman" w:cs="Times New Roman"/>
    </w:rPr>
  </w:style>
  <w:style w:type="character" w:styleId="Policepardfaut">
    <w:name w:val="Police par défaut"/>
    <w:qFormat/>
    <w:rPr/>
  </w:style>
  <w:style w:type="character" w:styleId="Titre1Car">
    <w:name w:val="Titre 1 Car"/>
    <w:qFormat/>
    <w:rPr>
      <w:rFonts w:ascii="Cambria" w:hAnsi="Cambria" w:eastAsia="Times New Roman" w:cs="Times New Roman"/>
      <w:b/>
      <w:bCs/>
      <w:kern w:val="2"/>
      <w:sz w:val="32"/>
      <w:szCs w:val="32"/>
    </w:rPr>
  </w:style>
  <w:style w:type="character" w:styleId="Titre2Car">
    <w:name w:val="Titre 2 Car"/>
    <w:qFormat/>
    <w:rPr>
      <w:rFonts w:ascii="Cambria" w:hAnsi="Cambria" w:eastAsia="Times New Roman" w:cs="Times New Roman"/>
      <w:b/>
      <w:bCs/>
      <w:i/>
      <w:iCs/>
      <w:sz w:val="28"/>
      <w:szCs w:val="28"/>
    </w:rPr>
  </w:style>
  <w:style w:type="character" w:styleId="Titre3Car">
    <w:name w:val="Titre 3 Car"/>
    <w:qFormat/>
    <w:rPr>
      <w:rFonts w:ascii="Cambria" w:hAnsi="Cambria" w:eastAsia="Times New Roman" w:cs="Times New Roman"/>
      <w:b/>
      <w:bCs/>
      <w:sz w:val="26"/>
      <w:szCs w:val="26"/>
    </w:rPr>
  </w:style>
  <w:style w:type="character" w:styleId="Titre4Car">
    <w:name w:val="Titre 4 Car"/>
    <w:qFormat/>
    <w:rPr>
      <w:rFonts w:ascii="Calibri" w:hAnsi="Calibri" w:eastAsia="Times New Roman" w:cs="Times New Roman"/>
      <w:b/>
      <w:bCs/>
      <w:sz w:val="28"/>
      <w:szCs w:val="28"/>
    </w:rPr>
  </w:style>
  <w:style w:type="character" w:styleId="Titre5Car">
    <w:name w:val="Titre 5 Car"/>
    <w:qFormat/>
    <w:rPr>
      <w:rFonts w:ascii="Calibri" w:hAnsi="Calibri" w:eastAsia="Times New Roman" w:cs="Times New Roman"/>
      <w:b/>
      <w:bCs/>
      <w:i/>
      <w:iCs/>
      <w:sz w:val="26"/>
      <w:szCs w:val="26"/>
    </w:rPr>
  </w:style>
  <w:style w:type="character" w:styleId="Titre6Car">
    <w:name w:val="Titre 6 Car"/>
    <w:qFormat/>
    <w:rPr>
      <w:rFonts w:ascii="Calibri" w:hAnsi="Calibri" w:eastAsia="Times New Roman" w:cs="Times New Roman"/>
      <w:b/>
      <w:bCs/>
      <w:sz w:val="22"/>
      <w:szCs w:val="22"/>
    </w:rPr>
  </w:style>
  <w:style w:type="character" w:styleId="Titre7Car">
    <w:name w:val="Titre 7 Car"/>
    <w:qFormat/>
    <w:rPr>
      <w:rFonts w:ascii="Calibri" w:hAnsi="Calibri" w:eastAsia="Times New Roman" w:cs="Times New Roman"/>
      <w:sz w:val="24"/>
      <w:szCs w:val="24"/>
    </w:rPr>
  </w:style>
  <w:style w:type="character" w:styleId="Titre8Car">
    <w:name w:val="Titre 8 Car"/>
    <w:qFormat/>
    <w:rPr>
      <w:rFonts w:ascii="Calibri" w:hAnsi="Calibri" w:eastAsia="Times New Roman" w:cs="Times New Roman"/>
      <w:i/>
      <w:iCs/>
      <w:sz w:val="24"/>
      <w:szCs w:val="24"/>
    </w:rPr>
  </w:style>
  <w:style w:type="character" w:styleId="Titre9Car">
    <w:name w:val="Titre 9 Car"/>
    <w:qFormat/>
    <w:rPr>
      <w:rFonts w:ascii="Cambria" w:hAnsi="Cambria" w:eastAsia="Times New Roman" w:cs="Times New Roman"/>
      <w:sz w:val="22"/>
      <w:szCs w:val="22"/>
    </w:rPr>
  </w:style>
  <w:style w:type="character" w:styleId="TitreCar">
    <w:name w:val="Titre Car"/>
    <w:qFormat/>
    <w:rPr>
      <w:rFonts w:ascii="Cambria" w:hAnsi="Cambria" w:eastAsia="Times New Roman" w:cs="Times New Roman"/>
      <w:b/>
      <w:bCs/>
      <w:kern w:val="2"/>
      <w:sz w:val="32"/>
      <w:szCs w:val="32"/>
    </w:rPr>
  </w:style>
  <w:style w:type="character" w:styleId="SoustitreCar">
    <w:name w:val="Sous-titre Car"/>
    <w:qFormat/>
    <w:rPr>
      <w:rFonts w:ascii="Cambria" w:hAnsi="Cambria" w:eastAsia="Times New Roman" w:cs="Times New Roman"/>
      <w:sz w:val="24"/>
      <w:szCs w:val="24"/>
    </w:rPr>
  </w:style>
  <w:style w:type="character" w:styleId="Accentuationforte">
    <w:name w:val="Accentuation forte"/>
    <w:qFormat/>
    <w:rPr>
      <w:b/>
      <w:bCs/>
    </w:rPr>
  </w:style>
  <w:style w:type="character" w:styleId="Accentuation">
    <w:name w:val="Accentuation"/>
    <w:qFormat/>
    <w:rPr>
      <w:i/>
      <w:iCs/>
    </w:rPr>
  </w:style>
  <w:style w:type="character" w:styleId="SansinterligneCar">
    <w:name w:val="Sans interligne Car"/>
    <w:qFormat/>
    <w:rPr>
      <w:sz w:val="22"/>
      <w:szCs w:val="22"/>
    </w:rPr>
  </w:style>
  <w:style w:type="character" w:styleId="CitationCar">
    <w:name w:val="Citation Car"/>
    <w:qFormat/>
    <w:rPr>
      <w:rFonts w:cs="Times New Roman"/>
      <w:i/>
      <w:iCs/>
      <w:color w:val="000000"/>
      <w:sz w:val="22"/>
      <w:szCs w:val="22"/>
    </w:rPr>
  </w:style>
  <w:style w:type="character" w:styleId="CitationintenseCar">
    <w:name w:val="Citation intense Car"/>
    <w:qFormat/>
    <w:rPr>
      <w:rFonts w:cs="Times New Roman"/>
      <w:b/>
      <w:bCs/>
      <w:i/>
      <w:iCs/>
      <w:color w:val="4F81BD"/>
      <w:sz w:val="22"/>
      <w:szCs w:val="22"/>
    </w:rPr>
  </w:style>
  <w:style w:type="character" w:styleId="Emphaseple">
    <w:name w:val="Emphase pâle"/>
    <w:qFormat/>
    <w:rPr>
      <w:i/>
      <w:iCs/>
      <w:color w:val="808080"/>
    </w:rPr>
  </w:style>
  <w:style w:type="character" w:styleId="Emphaseintense">
    <w:name w:val="Emphase intense"/>
    <w:qFormat/>
    <w:rPr>
      <w:b/>
      <w:bCs/>
      <w:i/>
      <w:iCs/>
      <w:color w:val="4F81BD"/>
    </w:rPr>
  </w:style>
  <w:style w:type="character" w:styleId="Rfrenceple">
    <w:name w:val="Référence pâle"/>
    <w:qFormat/>
    <w:rPr>
      <w:smallCaps/>
      <w:color w:val="C0504D"/>
      <w:u w:val="single"/>
    </w:rPr>
  </w:style>
  <w:style w:type="character" w:styleId="Rfrenceintense">
    <w:name w:val="Référence intense"/>
    <w:qFormat/>
    <w:rPr>
      <w:b/>
      <w:bCs/>
      <w:smallCaps/>
      <w:color w:val="C0504D"/>
      <w:spacing w:val="5"/>
      <w:u w:val="single"/>
    </w:rPr>
  </w:style>
  <w:style w:type="character" w:styleId="Titredulivre">
    <w:name w:val="Titre du livre"/>
    <w:qFormat/>
    <w:rPr>
      <w:b/>
      <w:bCs/>
      <w:smallCaps/>
      <w:spacing w:val="5"/>
    </w:rPr>
  </w:style>
  <w:style w:type="character" w:styleId="Caractresdenumrotation">
    <w:name w:val="Caractères de numérotation"/>
    <w:qFormat/>
    <w:rPr/>
  </w:style>
  <w:style w:type="paragraph" w:styleId="Titre">
    <w:name w:val="Titre"/>
    <w:basedOn w:val="Normal"/>
    <w:next w:val="Normal"/>
    <w:qFormat/>
    <w:pPr>
      <w:spacing w:before="240" w:after="60"/>
      <w:jc w:val="center"/>
      <w:outlineLvl w:val="0"/>
    </w:pPr>
    <w:rPr>
      <w:rFonts w:ascii="Cambria" w:hAnsi="Cambria" w:eastAsia="Times New Roman" w:cs="Times New Roman"/>
      <w:b/>
      <w:bCs/>
      <w:kern w:val="2"/>
      <w:sz w:val="32"/>
      <w:szCs w:val="32"/>
    </w:rPr>
  </w:style>
  <w:style w:type="paragraph" w:styleId="Corpsdetexte">
    <w:name w:val="Body Text"/>
    <w:basedOn w:val="Normal"/>
    <w:pPr>
      <w:spacing w:lineRule="auto" w:line="276" w:before="0" w:after="140"/>
    </w:pPr>
    <w:rPr/>
  </w:style>
  <w:style w:type="paragraph" w:styleId="Liste">
    <w:name w:val="List"/>
    <w:basedOn w:val="Corpsdetexte"/>
    <w:pPr/>
    <w:rPr>
      <w:rFonts w:cs="Lucida Sans"/>
    </w:rPr>
  </w:style>
  <w:style w:type="paragraph" w:styleId="Lgende">
    <w:name w:val="Caption"/>
    <w:basedOn w:val="Normal"/>
    <w:next w:val="Normal"/>
    <w:qFormat/>
    <w:pPr/>
    <w:rPr>
      <w:b/>
      <w:bCs/>
      <w:sz w:val="20"/>
      <w:szCs w:val="20"/>
    </w:rPr>
  </w:style>
  <w:style w:type="paragraph" w:styleId="Index">
    <w:name w:val="Index"/>
    <w:basedOn w:val="Normal"/>
    <w:qFormat/>
    <w:pPr>
      <w:suppressLineNumbers/>
    </w:pPr>
    <w:rPr>
      <w:rFonts w:cs="Lucida Sans"/>
    </w:rPr>
  </w:style>
  <w:style w:type="paragraph" w:styleId="Soustitre">
    <w:name w:val="Subtitle"/>
    <w:basedOn w:val="Normal"/>
    <w:next w:val="Normal"/>
    <w:qFormat/>
    <w:pPr>
      <w:spacing w:before="0" w:after="60"/>
      <w:jc w:val="center"/>
      <w:outlineLvl w:val="1"/>
    </w:pPr>
    <w:rPr>
      <w:rFonts w:ascii="Cambria" w:hAnsi="Cambria" w:eastAsia="Times New Roman" w:cs="Times New Roman"/>
      <w:sz w:val="24"/>
      <w:szCs w:val="24"/>
    </w:rPr>
  </w:style>
  <w:style w:type="paragraph" w:styleId="Sansinterligne">
    <w:name w:val="Sans interligne"/>
    <w:basedOn w:val="Normal"/>
    <w:qFormat/>
    <w:pPr>
      <w:spacing w:lineRule="auto" w:line="240" w:before="0" w:after="0"/>
    </w:pPr>
    <w:rPr/>
  </w:style>
  <w:style w:type="paragraph" w:styleId="Paragraphedeliste">
    <w:name w:val="Paragraphe de liste"/>
    <w:basedOn w:val="Normal"/>
    <w:qFormat/>
    <w:pPr>
      <w:ind w:left="708" w:hanging="0"/>
    </w:pPr>
    <w:rPr/>
  </w:style>
  <w:style w:type="paragraph" w:styleId="Citation">
    <w:name w:val="Citation"/>
    <w:basedOn w:val="Normal"/>
    <w:next w:val="Normal"/>
    <w:qFormat/>
    <w:pPr/>
    <w:rPr>
      <w:rFonts w:cs="Times New Roman"/>
      <w:i/>
      <w:iCs/>
      <w:color w:val="000000"/>
    </w:rPr>
  </w:style>
  <w:style w:type="paragraph" w:styleId="Citationintense">
    <w:name w:val="Citation intense"/>
    <w:basedOn w:val="Normal"/>
    <w:next w:val="Normal"/>
    <w:qFormat/>
    <w:pPr>
      <w:pBdr>
        <w:bottom w:val="single" w:sz="4" w:space="4" w:color="4F81BD"/>
      </w:pBdr>
      <w:spacing w:before="200" w:after="280"/>
      <w:ind w:left="936" w:right="936" w:hanging="0"/>
    </w:pPr>
    <w:rPr>
      <w:rFonts w:cs="Times New Roman"/>
      <w:b/>
      <w:bCs/>
      <w:i/>
      <w:iCs/>
      <w:color w:val="4F81BD"/>
    </w:rPr>
  </w:style>
  <w:style w:type="paragraph" w:styleId="Enttedetabledesmatires">
    <w:name w:val="En-tête de table des matières"/>
    <w:basedOn w:val="Titre1"/>
    <w:next w:val="Normal"/>
    <w:qFormat/>
    <w:pPr>
      <w:numPr>
        <w:ilvl w:val="0"/>
        <w:numId w:val="0"/>
      </w:numPr>
    </w:pPr>
    <w:rPr>
      <w:rFonts w:ascii="Cambria" w:hAnsi="Cambria" w:cs="Cambri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37</TotalTime>
  <Application>LibreOffice/6.2.3.2$Windows_x86 LibreOffice_project/aecc05fe267cc68dde00352a451aa867b3b546ac</Application>
  <Pages>5</Pages>
  <Words>1777</Words>
  <Characters>9643</Characters>
  <CharactersWithSpaces>11673</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2019-06-23T03:24:00Z</dcterms:created>
  <dc:creator>Micheline</dc:creator>
  <dc:description/>
  <dc:language>fr-FR</dc:language>
  <cp:lastModifiedBy/>
  <dcterms:modified xsi:type="dcterms:W3CDTF">2019-06-23T09:10:33Z</dcterms:modified>
  <cp:revision>19</cp:revision>
  <dc:subject/>
  <dc:title/>
</cp:coreProperties>
</file>